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AE" w:rsidRPr="00B82AAE" w:rsidRDefault="00B82AAE" w:rsidP="00B82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A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82AAE" w:rsidRPr="00B82AAE" w:rsidRDefault="00B82AAE" w:rsidP="00B82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AE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B82AAE" w:rsidRPr="00B82AAE" w:rsidRDefault="00B82AAE" w:rsidP="00B82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AE">
        <w:rPr>
          <w:rFonts w:ascii="Times New Roman" w:hAnsi="Times New Roman" w:cs="Times New Roman"/>
          <w:b/>
          <w:sz w:val="28"/>
          <w:szCs w:val="28"/>
          <w:lang w:val="uk-UA"/>
        </w:rPr>
        <w:t>«Дніпровська політехніка»</w:t>
      </w:r>
    </w:p>
    <w:p w:rsidR="00B82AAE" w:rsidRPr="00B82AAE" w:rsidRDefault="00B82AAE" w:rsidP="00B82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AAE" w:rsidRPr="00B82AAE" w:rsidRDefault="003B476D" w:rsidP="00B82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82AAE" w:rsidRPr="00B82AAE">
        <w:rPr>
          <w:rFonts w:ascii="Times New Roman" w:hAnsi="Times New Roman" w:cs="Times New Roman"/>
          <w:b/>
          <w:sz w:val="28"/>
          <w:szCs w:val="28"/>
          <w:lang w:val="uk-UA"/>
        </w:rPr>
        <w:t>афедра міжнародних відносин і аудиту</w:t>
      </w:r>
    </w:p>
    <w:p w:rsidR="00B82AAE" w:rsidRPr="00B82AAE" w:rsidRDefault="00B82AAE" w:rsidP="00B82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AAE" w:rsidRPr="00B82AAE" w:rsidRDefault="00B82AAE" w:rsidP="00B82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5925" cy="19231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2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6D" w:rsidRDefault="003B476D" w:rsidP="00B82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6D" w:rsidRDefault="001565F1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М.С. Пашкевич</w:t>
      </w:r>
    </w:p>
    <w:p w:rsidR="003B476D" w:rsidRDefault="003B476D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76D" w:rsidRDefault="00A6763E" w:rsidP="003B47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НАВЧАЛЬНА</w:t>
      </w:r>
      <w:r w:rsidR="003B476D" w:rsidRPr="003B476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ПРАКТИКА</w:t>
      </w:r>
    </w:p>
    <w:p w:rsidR="003B476D" w:rsidRDefault="003B476D" w:rsidP="003B47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B476D" w:rsidRDefault="00B0215E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  <w:r w:rsidR="003B476D" w:rsidRPr="003B476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B476D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</w:t>
      </w:r>
      <w:r w:rsidR="00E5743D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="003B476D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</w:p>
    <w:p w:rsidR="00FE0D4E" w:rsidRDefault="00FE0D4E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0D4E" w:rsidRPr="00A6763E" w:rsidRDefault="003B476D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63E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FE0D4E" w:rsidRPr="00A6763E">
        <w:rPr>
          <w:rFonts w:ascii="Times New Roman" w:hAnsi="Times New Roman" w:cs="Times New Roman"/>
          <w:sz w:val="28"/>
          <w:szCs w:val="28"/>
          <w:lang w:val="uk-UA"/>
        </w:rPr>
        <w:t>освітньої програми бакалавра</w:t>
      </w:r>
    </w:p>
    <w:p w:rsidR="003B476D" w:rsidRPr="00A6763E" w:rsidRDefault="00FE0D4E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63E">
        <w:rPr>
          <w:rFonts w:ascii="Times New Roman" w:hAnsi="Times New Roman" w:cs="Times New Roman"/>
          <w:sz w:val="28"/>
          <w:szCs w:val="28"/>
          <w:lang w:val="uk-UA"/>
        </w:rPr>
        <w:t>«Міжнародні відносини, суспільні комунікації та регіональні студії»</w:t>
      </w:r>
    </w:p>
    <w:p w:rsidR="00FE0D4E" w:rsidRPr="00A6763E" w:rsidRDefault="00FE0D4E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0D4E" w:rsidRPr="00A6763E" w:rsidRDefault="00FE0D4E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63E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3B476D" w:rsidRPr="00A6763E">
        <w:rPr>
          <w:rFonts w:ascii="Times New Roman" w:hAnsi="Times New Roman" w:cs="Times New Roman"/>
          <w:sz w:val="28"/>
          <w:szCs w:val="28"/>
          <w:lang w:val="uk-UA"/>
        </w:rPr>
        <w:t xml:space="preserve">291 «Міжнародні відносини, </w:t>
      </w:r>
    </w:p>
    <w:p w:rsidR="003B476D" w:rsidRDefault="003B476D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63E">
        <w:rPr>
          <w:rFonts w:ascii="Times New Roman" w:hAnsi="Times New Roman" w:cs="Times New Roman"/>
          <w:sz w:val="28"/>
          <w:szCs w:val="28"/>
          <w:lang w:val="uk-UA"/>
        </w:rPr>
        <w:t>суспільні комунікації та регіональні студії»</w:t>
      </w:r>
    </w:p>
    <w:p w:rsidR="003B476D" w:rsidRDefault="003B476D" w:rsidP="003B47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76D" w:rsidRPr="003B476D" w:rsidRDefault="003B476D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476D"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3B476D" w:rsidRPr="003B476D" w:rsidRDefault="003B476D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476D">
        <w:rPr>
          <w:rFonts w:ascii="Times New Roman" w:hAnsi="Times New Roman" w:cs="Times New Roman"/>
          <w:sz w:val="28"/>
          <w:szCs w:val="28"/>
          <w:lang w:val="uk-UA"/>
        </w:rPr>
        <w:t>НТУ «ДП»</w:t>
      </w:r>
    </w:p>
    <w:p w:rsidR="003B476D" w:rsidRDefault="003B476D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476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565F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E0D4E" w:rsidRDefault="00FE0D4E" w:rsidP="003B4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FE0D4E" w:rsidSect="00B82AAE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523F0" w:rsidRPr="00A523F0" w:rsidRDefault="00A523F0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3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</w:t>
      </w:r>
      <w:r>
        <w:rPr>
          <w:rFonts w:ascii="Times New Roman" w:hAnsi="Times New Roman" w:cs="Times New Roman"/>
          <w:sz w:val="28"/>
          <w:szCs w:val="28"/>
          <w:lang w:val="uk-UA"/>
        </w:rPr>
        <w:t>327</w:t>
      </w:r>
    </w:p>
    <w:p w:rsidR="00A523F0" w:rsidRDefault="00A523F0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3F0" w:rsidRPr="00A523F0" w:rsidRDefault="00A523F0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Пашкевич М.С.</w:t>
      </w:r>
    </w:p>
    <w:p w:rsidR="00A523F0" w:rsidRPr="00A523F0" w:rsidRDefault="00A523F0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 практика. Методичні </w:t>
      </w:r>
      <w:r w:rsidR="00FD7A6F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бакалаврського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) освітнього рівня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291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Міжнародні відносини, суспільні комунікації та регіональні студії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. Освітня програма – «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Міжнародні відносини, суспільні комунікації та регіональні студії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» / </w:t>
      </w:r>
      <w:r>
        <w:rPr>
          <w:rFonts w:ascii="Times New Roman" w:hAnsi="Times New Roman" w:cs="Times New Roman"/>
          <w:sz w:val="28"/>
          <w:szCs w:val="28"/>
          <w:lang w:val="uk-UA"/>
        </w:rPr>
        <w:t>М.С. Пашкевич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; Нац. техн. ун-т. «Дніпровська політехніка». - Д.: НТУ «ДП»,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2022. </w:t>
      </w:r>
      <w:r w:rsidRPr="000D7C51">
        <w:rPr>
          <w:rFonts w:ascii="Times New Roman" w:hAnsi="Times New Roman" w:cs="Times New Roman"/>
          <w:sz w:val="28"/>
          <w:szCs w:val="28"/>
          <w:lang w:val="uk-UA"/>
        </w:rPr>
        <w:t>– 1</w:t>
      </w:r>
      <w:r w:rsidR="000D7C51" w:rsidRPr="000D7C5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523F0" w:rsidRDefault="00A523F0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3F0" w:rsidRPr="00A523F0" w:rsidRDefault="00A523F0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Наведено методичні рекомендації щодо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 практики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,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оцінювання та проведення захисту. Розкриті компоненти, що сприяють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досягненню програмних результатів навчання, а також підкріпленню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3F0">
        <w:rPr>
          <w:rFonts w:ascii="Times New Roman" w:hAnsi="Times New Roman" w:cs="Times New Roman"/>
          <w:sz w:val="28"/>
          <w:szCs w:val="28"/>
          <w:lang w:val="uk-UA"/>
        </w:rPr>
        <w:t>компетентністних</w:t>
      </w:r>
      <w:proofErr w:type="spellEnd"/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 студентів (знань, умінь, комунікацій,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автономності та відповідальності) 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проходження навчальної практики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3F0" w:rsidRDefault="00A523F0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3F0" w:rsidRPr="00A523F0" w:rsidRDefault="00A523F0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3F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містять загальні положення та вказівки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звіту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проходження навчальної практики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4EE" w:rsidRDefault="000204EE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004" w:rsidRDefault="00A523F0" w:rsidP="00A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3F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призначені для студентів денної та заочної форм</w:t>
      </w:r>
      <w:r w:rsidR="00020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навчання спеціальності </w:t>
      </w:r>
      <w:r w:rsidR="000204EE">
        <w:rPr>
          <w:rFonts w:ascii="Times New Roman" w:hAnsi="Times New Roman" w:cs="Times New Roman"/>
          <w:sz w:val="28"/>
          <w:szCs w:val="28"/>
          <w:lang w:val="uk-UA"/>
        </w:rPr>
        <w:t>291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4EE">
        <w:rPr>
          <w:rFonts w:ascii="Times New Roman" w:hAnsi="Times New Roman" w:cs="Times New Roman"/>
          <w:sz w:val="28"/>
          <w:szCs w:val="28"/>
          <w:lang w:val="uk-UA"/>
        </w:rPr>
        <w:t>Міжнародні відносини, суспільні комунікації та регіональні студії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, галузі 2</w:t>
      </w:r>
      <w:r w:rsidR="000204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4EE">
        <w:rPr>
          <w:rFonts w:ascii="Times New Roman" w:hAnsi="Times New Roman" w:cs="Times New Roman"/>
          <w:sz w:val="28"/>
          <w:szCs w:val="28"/>
          <w:lang w:val="uk-UA"/>
        </w:rPr>
        <w:t>Міжнародні відносини</w:t>
      </w:r>
      <w:r w:rsidRPr="00A523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8CF" w:rsidRDefault="006638CF" w:rsidP="00A05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8CF" w:rsidRDefault="006638CF" w:rsidP="00A05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8CF" w:rsidRPr="000204EE" w:rsidRDefault="000204EE" w:rsidP="00A05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4EE">
        <w:rPr>
          <w:rFonts w:ascii="Times New Roman" w:hAnsi="Times New Roman" w:cs="Times New Roman"/>
          <w:sz w:val="28"/>
          <w:szCs w:val="28"/>
          <w:lang w:val="uk-UA"/>
        </w:rPr>
        <w:t>Погоджено рішенням науково-методичної комісії спеціальності 291 Міжнародні відносини, суспільні комунікації та регіональні студії (протокол №6 від 08.07.2022 р.).</w:t>
      </w:r>
    </w:p>
    <w:p w:rsidR="006638CF" w:rsidRDefault="006638CF" w:rsidP="00A05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8CF" w:rsidRDefault="006638CF" w:rsidP="00A05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3F0" w:rsidRDefault="00A523F0" w:rsidP="00A05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523F0" w:rsidSect="00B82AA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638CF" w:rsidRPr="006638CF" w:rsidRDefault="006638CF" w:rsidP="006638CF">
      <w:pPr>
        <w:keepNext/>
        <w:keepLines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3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7B6AC4" w:rsidRDefault="007B6AC4" w:rsidP="006638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38CF" w:rsidRDefault="007B6AC4" w:rsidP="006638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</w:t>
      </w:r>
      <w:r w:rsidR="000D7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навчальної практики……………………………….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……………….</w:t>
      </w:r>
      <w:r w:rsidR="00FD4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</w:t>
      </w:r>
      <w:r w:rsidR="000D7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326EC9" w:rsidRPr="006638CF" w:rsidRDefault="00326EC9" w:rsidP="006638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Очікувані результати навчання з практики………………………………………5</w:t>
      </w:r>
    </w:p>
    <w:p w:rsidR="006638CF" w:rsidRPr="006638CF" w:rsidRDefault="00326EC9" w:rsidP="006638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Індивідуальні завдання здобувачів вищої освіти на практику 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6638CF" w:rsidRPr="006638CF" w:rsidRDefault="00326EC9" w:rsidP="006638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Теми індивідуальних завдань для студентів……………………………………..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6638CF" w:rsidRPr="006638CF" w:rsidRDefault="00326EC9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Перелік документів, що регламентують направлення здобувачів вищої освіти   </w:t>
      </w:r>
    </w:p>
    <w:p w:rsidR="006638CF" w:rsidRPr="006638CF" w:rsidRDefault="006638CF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практику</w:t>
      </w:r>
      <w:r w:rsidR="008F0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</w:t>
      </w:r>
      <w:r w:rsidR="00326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6638CF" w:rsidRPr="006638CF" w:rsidRDefault="00326EC9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Обов’язки здобувачів вищої освіти на практиці………………………………...</w:t>
      </w:r>
      <w:r w:rsidR="007B6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6638CF" w:rsidRPr="006638CF" w:rsidRDefault="00326EC9" w:rsidP="0028457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Обов’язки керівників практик від кафедр</w:t>
      </w:r>
      <w:r w:rsidR="00FE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F0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………………...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.9</w:t>
      </w:r>
    </w:p>
    <w:p w:rsidR="006638CF" w:rsidRPr="006638CF" w:rsidRDefault="00326EC9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Критерії оцінювання практики…………………………………………………</w:t>
      </w:r>
      <w:r w:rsidR="007B6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6638CF" w:rsidRDefault="00326EC9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Рекомендована література………….………………………………………......</w:t>
      </w:r>
      <w:r w:rsidR="007B6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</w:t>
      </w:r>
      <w:r w:rsidR="006638CF" w:rsidRPr="0066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C05781" w:rsidRDefault="00C05781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1……………………………………………………………………...……...1</w:t>
      </w:r>
      <w:r w:rsidR="00326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7B6AC4" w:rsidRDefault="007B6AC4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AC4" w:rsidRDefault="007B6AC4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AC4" w:rsidRDefault="007B6AC4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AC4" w:rsidRDefault="007B6AC4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04EE" w:rsidRDefault="000204EE" w:rsidP="006638C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204EE" w:rsidSect="00B82AA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B6AC4" w:rsidRPr="000208D6" w:rsidRDefault="007B6AC4" w:rsidP="000208D6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0208D6">
        <w:rPr>
          <w:b/>
          <w:sz w:val="28"/>
          <w:szCs w:val="28"/>
        </w:rPr>
        <w:lastRenderedPageBreak/>
        <w:t xml:space="preserve">МЕТА </w:t>
      </w:r>
      <w:r w:rsidR="005D620C">
        <w:rPr>
          <w:b/>
          <w:sz w:val="28"/>
          <w:szCs w:val="28"/>
        </w:rPr>
        <w:t>НАВЧАЛЬНОЇ</w:t>
      </w:r>
      <w:r w:rsidRPr="000208D6">
        <w:rPr>
          <w:b/>
          <w:sz w:val="28"/>
          <w:szCs w:val="28"/>
        </w:rPr>
        <w:t xml:space="preserve"> ПРАКТИКИ</w:t>
      </w:r>
    </w:p>
    <w:p w:rsidR="000208D6" w:rsidRDefault="000208D6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4C51" w:rsidRDefault="008E4C51" w:rsidP="008E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51">
        <w:rPr>
          <w:rFonts w:ascii="Times New Roman" w:hAnsi="Times New Roman" w:cs="Times New Roman"/>
          <w:sz w:val="28"/>
          <w:szCs w:val="28"/>
          <w:lang w:val="uk-UA"/>
        </w:rPr>
        <w:t xml:space="preserve">В освітньо-професійній програмі «Міжнародні відносини, суспільні комунікації та регіональні студії» спеціальності 291 Міжнародні відносини, суспільні комунікації та регіональні студії здійснено розподіл програмних результатів навчання (РН) за організаційними формами освітнього процесу. </w:t>
      </w:r>
      <w:r w:rsidRPr="000D7C51">
        <w:rPr>
          <w:rFonts w:ascii="Times New Roman" w:hAnsi="Times New Roman" w:cs="Times New Roman"/>
          <w:sz w:val="28"/>
          <w:szCs w:val="28"/>
          <w:lang w:val="uk-UA"/>
        </w:rPr>
        <w:t xml:space="preserve">Зокрема, до </w:t>
      </w:r>
      <w:r w:rsidR="008D74BD">
        <w:rPr>
          <w:rFonts w:ascii="Times New Roman" w:hAnsi="Times New Roman" w:cs="Times New Roman"/>
          <w:sz w:val="28"/>
          <w:szCs w:val="28"/>
          <w:lang w:val="uk-UA"/>
        </w:rPr>
        <w:t>навчальної практики</w:t>
      </w:r>
      <w:r w:rsidRPr="000D7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4BD">
        <w:rPr>
          <w:rFonts w:ascii="Times New Roman" w:hAnsi="Times New Roman" w:cs="Times New Roman"/>
          <w:sz w:val="28"/>
          <w:szCs w:val="28"/>
          <w:lang w:val="uk-UA"/>
        </w:rPr>
        <w:t>П1</w:t>
      </w:r>
      <w:r w:rsidRPr="000D7C51">
        <w:rPr>
          <w:rFonts w:ascii="Times New Roman" w:hAnsi="Times New Roman" w:cs="Times New Roman"/>
          <w:sz w:val="28"/>
          <w:szCs w:val="28"/>
          <w:lang w:val="uk-UA"/>
        </w:rPr>
        <w:t xml:space="preserve"> віднесено так</w:t>
      </w:r>
      <w:r w:rsidR="008D74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D7C5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8D74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D7C51">
        <w:rPr>
          <w:rFonts w:ascii="Times New Roman" w:hAnsi="Times New Roman" w:cs="Times New Roman"/>
          <w:sz w:val="28"/>
          <w:szCs w:val="28"/>
          <w:lang w:val="uk-UA"/>
        </w:rPr>
        <w:t xml:space="preserve"> навчання:</w:t>
      </w:r>
    </w:p>
    <w:p w:rsidR="008D74BD" w:rsidRPr="008D74BD" w:rsidRDefault="008D74BD" w:rsidP="008E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C51" w:rsidRPr="003C6812" w:rsidRDefault="008E4C51" w:rsidP="008E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812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8D74BD" w:rsidRPr="003C681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C6812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8D74BD" w:rsidRPr="003C6812">
        <w:rPr>
          <w:rFonts w:ascii="Times New Roman" w:hAnsi="Times New Roman" w:cs="Times New Roman"/>
          <w:sz w:val="28"/>
          <w:szCs w:val="28"/>
          <w:lang w:val="uk-UA"/>
        </w:rPr>
        <w:t>Здійснювати опис та аналіз міжнародної ситуації, збирати з різних джерел необхідну для цього інформацію про міжнародні та зовнішньополітичні події та процеси.</w:t>
      </w:r>
    </w:p>
    <w:p w:rsidR="008D74BD" w:rsidRDefault="008D74BD" w:rsidP="008E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РН08 </w:t>
      </w:r>
      <w:r w:rsidRPr="008D74BD">
        <w:rPr>
          <w:rFonts w:ascii="Times New Roman" w:hAnsi="Times New Roman" w:cs="Times New Roman"/>
          <w:sz w:val="28"/>
          <w:szCs w:val="28"/>
          <w:lang w:val="uk-UA"/>
        </w:rPr>
        <w:t>Збирати, обробляти та аналізувати великі обсяги інформації про стан міжнародних відносин, зовнішньої політики України та інших держав, регіональних систем, міжнародних комунікацій.</w:t>
      </w:r>
    </w:p>
    <w:p w:rsidR="008D74BD" w:rsidRDefault="003C6812" w:rsidP="008E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РН09 </w:t>
      </w:r>
      <w:r w:rsidRPr="003C6812">
        <w:rPr>
          <w:rFonts w:ascii="Times New Roman" w:hAnsi="Times New Roman" w:cs="Times New Roman"/>
          <w:sz w:val="28"/>
          <w:szCs w:val="28"/>
          <w:lang w:val="uk-UA"/>
        </w:rPr>
        <w:t>Досліджувати проблеми міжнародних відносин, регіонального розвитку, зовнішньої політики, міжнародних комунікацій, із використанням сучасних політичних, економічних і правових теорій та концепцій, наукових методів та міждисциплінарних підходів, презентувати результати досліджень, надавати відповідні рекомендації.</w:t>
      </w:r>
    </w:p>
    <w:p w:rsidR="003C6812" w:rsidRDefault="003C6812" w:rsidP="008E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РН11 </w:t>
      </w:r>
      <w:r w:rsidRPr="003C6812">
        <w:rPr>
          <w:rFonts w:ascii="Times New Roman" w:hAnsi="Times New Roman" w:cs="Times New Roman"/>
          <w:sz w:val="28"/>
          <w:szCs w:val="28"/>
          <w:lang w:val="uk-UA"/>
        </w:rPr>
        <w:t>Здійснювати прикладний аналіз міжнародних відносин, зовнішньої політики України та інших держав, міжнародних процесів та міжнародної ситуації відповідно до поставлених цілей, готувати інформаційні та аналітичні звіти.</w:t>
      </w:r>
    </w:p>
    <w:p w:rsidR="003C6812" w:rsidRDefault="003C6812" w:rsidP="008E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РН12 </w:t>
      </w:r>
      <w:r w:rsidRPr="003C6812">
        <w:rPr>
          <w:rFonts w:ascii="Times New Roman" w:hAnsi="Times New Roman" w:cs="Times New Roman"/>
          <w:sz w:val="28"/>
          <w:szCs w:val="28"/>
          <w:lang w:val="uk-UA"/>
        </w:rPr>
        <w:t xml:space="preserve">Володіти навичками професійного усного та письмового перекладу з/на іноземні мови, зокрема, з фахової тематики міжнародного співробітництва, зовнішньої політики, міжнародних комунікацій, регіональних студій, </w:t>
      </w:r>
      <w:proofErr w:type="spellStart"/>
      <w:r w:rsidRPr="003C6812">
        <w:rPr>
          <w:rFonts w:ascii="Times New Roman" w:hAnsi="Times New Roman" w:cs="Times New Roman"/>
          <w:sz w:val="28"/>
          <w:szCs w:val="28"/>
          <w:lang w:val="uk-UA"/>
        </w:rPr>
        <w:t>дво-</w:t>
      </w:r>
      <w:proofErr w:type="spellEnd"/>
      <w:r w:rsidRPr="003C6812">
        <w:rPr>
          <w:rFonts w:ascii="Times New Roman" w:hAnsi="Times New Roman" w:cs="Times New Roman"/>
          <w:sz w:val="28"/>
          <w:szCs w:val="28"/>
          <w:lang w:val="uk-UA"/>
        </w:rPr>
        <w:t xml:space="preserve"> та багатосторонніх міжнародних проектів.</w:t>
      </w:r>
    </w:p>
    <w:p w:rsidR="003C6812" w:rsidRDefault="003C6812" w:rsidP="008E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РН13 </w:t>
      </w:r>
      <w:r w:rsidRPr="003C6812">
        <w:rPr>
          <w:rFonts w:ascii="Times New Roman" w:hAnsi="Times New Roman" w:cs="Times New Roman"/>
          <w:sz w:val="28"/>
          <w:szCs w:val="28"/>
          <w:lang w:val="uk-UA"/>
        </w:rPr>
        <w:t>Вести фахову дискусію із проблем міжнародних відносин, міжнародних комунікацій, регіональних студій, зовнішньої політичної діяльності, аргументувати свою позицію, поважати опонентів і їхню точку зору.</w:t>
      </w:r>
    </w:p>
    <w:p w:rsidR="003C6812" w:rsidRDefault="003C6812" w:rsidP="008E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РН14 </w:t>
      </w:r>
      <w:r w:rsidRPr="003C6812">
        <w:rPr>
          <w:rFonts w:ascii="Times New Roman" w:hAnsi="Times New Roman" w:cs="Times New Roman"/>
          <w:sz w:val="28"/>
          <w:szCs w:val="28"/>
          <w:lang w:val="uk-UA"/>
        </w:rPr>
        <w:t>Використовувати сучасні цифрові технології, спеціалізоване програмне забезпечення, бази даних та інформаційні системи для розв’язання складних спеціалізованих задач у сфері міжнародних відносин, суспільних комунікацій та/або регіональних студій.</w:t>
      </w:r>
    </w:p>
    <w:p w:rsidR="008E4C51" w:rsidRPr="008E4C51" w:rsidRDefault="008E4C51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AC4" w:rsidRDefault="0078260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8D6">
        <w:rPr>
          <w:rFonts w:ascii="Times New Roman" w:hAnsi="Times New Roman" w:cs="Times New Roman"/>
          <w:b/>
          <w:sz w:val="28"/>
          <w:szCs w:val="28"/>
          <w:lang w:val="uk-UA"/>
        </w:rPr>
        <w:t>Мета навчальної</w:t>
      </w:r>
      <w:r w:rsidR="007B6AC4" w:rsidRPr="00020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</w:t>
      </w:r>
      <w:r w:rsidR="007B6AC4" w:rsidRPr="000208D6">
        <w:rPr>
          <w:rFonts w:ascii="Times New Roman" w:hAnsi="Times New Roman" w:cs="Times New Roman"/>
          <w:sz w:val="28"/>
          <w:szCs w:val="28"/>
          <w:lang w:val="uk-UA"/>
        </w:rPr>
        <w:t xml:space="preserve"> – сформувати у студента професійні компетентності</w:t>
      </w:r>
      <w:r w:rsidR="007B6AC4" w:rsidRPr="007B6AC4">
        <w:rPr>
          <w:rFonts w:ascii="Times New Roman" w:hAnsi="Times New Roman" w:cs="Times New Roman"/>
          <w:sz w:val="28"/>
          <w:szCs w:val="28"/>
          <w:lang w:val="uk-UA"/>
        </w:rPr>
        <w:t xml:space="preserve">, необхідні для організації пошуку, обробки, аналізу інформації з проблем міжнародних відносин та світової політики завдяки використанню інформаційно-комунікаційних технологій, а також для підготовки прикладних аналітичних розробок з відповідних </w:t>
      </w:r>
      <w:r w:rsidR="007B6AC4">
        <w:rPr>
          <w:rFonts w:ascii="Times New Roman" w:hAnsi="Times New Roman" w:cs="Times New Roman"/>
          <w:sz w:val="28"/>
          <w:szCs w:val="28"/>
          <w:lang w:val="uk-UA"/>
        </w:rPr>
        <w:t>тем.</w:t>
      </w:r>
    </w:p>
    <w:p w:rsidR="000208D6" w:rsidRDefault="000208D6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20C" w:rsidRDefault="005D620C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20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вимагає трансформації програмних результатів навчання та адекватний відбір змісту навчальної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Pr="005D620C">
        <w:rPr>
          <w:rFonts w:ascii="Times New Roman" w:hAnsi="Times New Roman" w:cs="Times New Roman"/>
          <w:sz w:val="28"/>
          <w:szCs w:val="28"/>
          <w:lang w:val="uk-UA"/>
        </w:rPr>
        <w:t xml:space="preserve"> за цим критерієм.</w:t>
      </w:r>
    </w:p>
    <w:p w:rsidR="005D620C" w:rsidRDefault="005D620C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20C" w:rsidRDefault="005D620C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20C" w:rsidRPr="00696ED3" w:rsidRDefault="005D620C" w:rsidP="005D620C">
      <w:pPr>
        <w:pStyle w:val="1"/>
        <w:spacing w:before="0"/>
        <w:jc w:val="center"/>
        <w:rPr>
          <w:b/>
          <w:bCs/>
          <w:color w:val="000000"/>
          <w:sz w:val="28"/>
          <w:szCs w:val="28"/>
        </w:rPr>
      </w:pPr>
      <w:bookmarkStart w:id="0" w:name="_Toc34660487"/>
      <w:bookmarkStart w:id="1" w:name="_Hlk497602021"/>
      <w:r w:rsidRPr="00696ED3">
        <w:rPr>
          <w:b/>
          <w:bCs/>
          <w:color w:val="000000"/>
          <w:sz w:val="28"/>
          <w:szCs w:val="28"/>
        </w:rPr>
        <w:lastRenderedPageBreak/>
        <w:t>2 ОЧІКУВАНІ РЕЗУЛЬТАТИ НАВЧАННЯ</w:t>
      </w:r>
      <w:bookmarkEnd w:id="0"/>
      <w:r w:rsidRPr="00696ED3">
        <w:rPr>
          <w:b/>
          <w:bCs/>
          <w:color w:val="000000"/>
          <w:sz w:val="28"/>
          <w:szCs w:val="28"/>
        </w:rPr>
        <w:t xml:space="preserve"> З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908"/>
        <w:gridCol w:w="7193"/>
      </w:tblGrid>
      <w:tr w:rsidR="005D620C" w:rsidRPr="005D620C" w:rsidTr="005D620C">
        <w:trPr>
          <w:tblHeader/>
        </w:trPr>
        <w:tc>
          <w:tcPr>
            <w:tcW w:w="511" w:type="pct"/>
            <w:vMerge w:val="restart"/>
            <w:vAlign w:val="center"/>
          </w:tcPr>
          <w:p w:rsidR="005D620C" w:rsidRPr="005D620C" w:rsidRDefault="005D620C" w:rsidP="0069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  <w:p w:rsidR="005D620C" w:rsidRPr="005D620C" w:rsidRDefault="005D620C" w:rsidP="0069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</w:p>
        </w:tc>
        <w:tc>
          <w:tcPr>
            <w:tcW w:w="4489" w:type="pct"/>
            <w:gridSpan w:val="2"/>
            <w:vAlign w:val="center"/>
          </w:tcPr>
          <w:p w:rsidR="005D620C" w:rsidRPr="005D620C" w:rsidRDefault="005D620C" w:rsidP="0069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proofErr w:type="spellStart"/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езультати</w:t>
            </w:r>
            <w:proofErr w:type="spellEnd"/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практики</w:t>
            </w:r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D620C" w:rsidRPr="005D620C" w:rsidTr="00696ED3">
        <w:trPr>
          <w:tblHeader/>
        </w:trPr>
        <w:tc>
          <w:tcPr>
            <w:tcW w:w="511" w:type="pct"/>
            <w:vMerge/>
            <w:vAlign w:val="center"/>
          </w:tcPr>
          <w:p w:rsidR="005D620C" w:rsidRPr="005D620C" w:rsidRDefault="005D620C" w:rsidP="0069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5D620C" w:rsidRPr="00696ED3" w:rsidRDefault="005D620C" w:rsidP="0069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шифр </w:t>
            </w:r>
            <w:r w:rsidR="00696E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РНП</w:t>
            </w:r>
          </w:p>
        </w:tc>
        <w:tc>
          <w:tcPr>
            <w:tcW w:w="3548" w:type="pct"/>
            <w:vAlign w:val="center"/>
          </w:tcPr>
          <w:p w:rsidR="005D620C" w:rsidRPr="005D620C" w:rsidRDefault="005D620C" w:rsidP="0069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5D620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5D620C" w:rsidRPr="005D620C" w:rsidTr="00696ED3">
        <w:trPr>
          <w:trHeight w:val="423"/>
        </w:trPr>
        <w:tc>
          <w:tcPr>
            <w:tcW w:w="511" w:type="pct"/>
            <w:vAlign w:val="center"/>
          </w:tcPr>
          <w:p w:rsidR="005D620C" w:rsidRPr="005D620C" w:rsidRDefault="005D620C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2" w:name="_Hlk49818840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РН08</w:t>
            </w:r>
          </w:p>
        </w:tc>
        <w:tc>
          <w:tcPr>
            <w:tcW w:w="941" w:type="pct"/>
          </w:tcPr>
          <w:p w:rsidR="005D620C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РН08.1 – П1</w:t>
            </w:r>
          </w:p>
        </w:tc>
        <w:tc>
          <w:tcPr>
            <w:tcW w:w="3548" w:type="pct"/>
          </w:tcPr>
          <w:p w:rsidR="005D620C" w:rsidRPr="0068497F" w:rsidRDefault="005D620C" w:rsidP="0069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навчитися пошуку, обробці та аналізу інформації з різних джерел, зокрема завдяки використанню інформаційних і комунікаційних технологій;</w:t>
            </w:r>
          </w:p>
        </w:tc>
      </w:tr>
      <w:tr w:rsidR="005D620C" w:rsidRPr="005D620C" w:rsidTr="00696ED3">
        <w:tc>
          <w:tcPr>
            <w:tcW w:w="511" w:type="pct"/>
          </w:tcPr>
          <w:p w:rsidR="005D620C" w:rsidRPr="005D620C" w:rsidRDefault="005D620C" w:rsidP="00696E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РН08</w:t>
            </w:r>
          </w:p>
        </w:tc>
        <w:tc>
          <w:tcPr>
            <w:tcW w:w="941" w:type="pct"/>
          </w:tcPr>
          <w:p w:rsidR="005D620C" w:rsidRPr="005D620C" w:rsidRDefault="00696ED3" w:rsidP="00A0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РН08.</w:t>
            </w:r>
            <w:r w:rsidR="00A07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П2</w:t>
            </w:r>
          </w:p>
        </w:tc>
        <w:tc>
          <w:tcPr>
            <w:tcW w:w="3548" w:type="pct"/>
          </w:tcPr>
          <w:p w:rsidR="005D620C" w:rsidRPr="0068497F" w:rsidRDefault="005D620C" w:rsidP="0069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оволодіти прийомами роботи з джерелами інформації, структурування отриманої інформації за певними параметрами;</w:t>
            </w:r>
          </w:p>
        </w:tc>
      </w:tr>
      <w:tr w:rsidR="00696ED3" w:rsidRPr="005D620C" w:rsidTr="00696ED3">
        <w:tc>
          <w:tcPr>
            <w:tcW w:w="51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РН08</w:t>
            </w:r>
          </w:p>
        </w:tc>
        <w:tc>
          <w:tcPr>
            <w:tcW w:w="941" w:type="pct"/>
          </w:tcPr>
          <w:p w:rsidR="00696ED3" w:rsidRPr="005D620C" w:rsidRDefault="00696ED3" w:rsidP="00A0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РН08.</w:t>
            </w:r>
            <w:r w:rsidR="00A07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П3</w:t>
            </w:r>
          </w:p>
        </w:tc>
        <w:tc>
          <w:tcPr>
            <w:tcW w:w="3548" w:type="pct"/>
          </w:tcPr>
          <w:p w:rsidR="00696ED3" w:rsidRDefault="00696ED3" w:rsidP="00696ED3">
            <w:pPr>
              <w:spacing w:after="0" w:line="240" w:lineRule="auto"/>
            </w:pPr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ознайомитись з методикою складання </w:t>
            </w:r>
            <w:proofErr w:type="spellStart"/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медіамоніторингу</w:t>
            </w:r>
            <w:proofErr w:type="spellEnd"/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обраної теми.</w:t>
            </w:r>
          </w:p>
        </w:tc>
      </w:tr>
      <w:tr w:rsidR="00696ED3" w:rsidRPr="005D620C" w:rsidTr="00696ED3">
        <w:tc>
          <w:tcPr>
            <w:tcW w:w="51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РН09</w:t>
            </w:r>
          </w:p>
        </w:tc>
        <w:tc>
          <w:tcPr>
            <w:tcW w:w="94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РН09.1 – П1</w:t>
            </w:r>
          </w:p>
        </w:tc>
        <w:tc>
          <w:tcPr>
            <w:tcW w:w="3548" w:type="pct"/>
          </w:tcPr>
          <w:p w:rsidR="00696ED3" w:rsidRPr="0068497F" w:rsidRDefault="00696ED3" w:rsidP="0069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ознайомитися та критично проаналізувати основні проблеми з обраної тематики;</w:t>
            </w:r>
          </w:p>
        </w:tc>
      </w:tr>
      <w:tr w:rsidR="00696ED3" w:rsidRPr="005D620C" w:rsidTr="00696ED3">
        <w:tc>
          <w:tcPr>
            <w:tcW w:w="51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РН11</w:t>
            </w:r>
          </w:p>
        </w:tc>
        <w:tc>
          <w:tcPr>
            <w:tcW w:w="94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РН11.1 – П1</w:t>
            </w:r>
          </w:p>
        </w:tc>
        <w:tc>
          <w:tcPr>
            <w:tcW w:w="3548" w:type="pct"/>
          </w:tcPr>
          <w:p w:rsidR="00696ED3" w:rsidRPr="0068497F" w:rsidRDefault="00696ED3" w:rsidP="0069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взаємодію між державами, міжнародними організаціями та недержавними акторами, зрозуміти актуальні проблеми міжнародних відносин;</w:t>
            </w:r>
          </w:p>
        </w:tc>
      </w:tr>
      <w:tr w:rsidR="00696ED3" w:rsidRPr="005D620C" w:rsidTr="00696ED3">
        <w:tc>
          <w:tcPr>
            <w:tcW w:w="51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TW"/>
              </w:rPr>
            </w:pPr>
            <w:r w:rsidRPr="003C6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РН07</w:t>
            </w:r>
          </w:p>
        </w:tc>
        <w:tc>
          <w:tcPr>
            <w:tcW w:w="94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РН07.1 – П1</w:t>
            </w:r>
          </w:p>
        </w:tc>
        <w:tc>
          <w:tcPr>
            <w:tcW w:w="3548" w:type="pct"/>
          </w:tcPr>
          <w:p w:rsidR="00696ED3" w:rsidRPr="0068497F" w:rsidRDefault="00696ED3" w:rsidP="0069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оволодіти основами проблемного міжнародного політичного аналізу;</w:t>
            </w:r>
          </w:p>
        </w:tc>
      </w:tr>
      <w:tr w:rsidR="00696ED3" w:rsidRPr="005D620C" w:rsidTr="00696ED3">
        <w:tc>
          <w:tcPr>
            <w:tcW w:w="51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TW"/>
              </w:rPr>
            </w:pPr>
            <w:r w:rsidRPr="003C6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РН07</w:t>
            </w:r>
          </w:p>
        </w:tc>
        <w:tc>
          <w:tcPr>
            <w:tcW w:w="94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РН07.2 – П1</w:t>
            </w:r>
          </w:p>
        </w:tc>
        <w:tc>
          <w:tcPr>
            <w:tcW w:w="3548" w:type="pct"/>
          </w:tcPr>
          <w:p w:rsidR="00696ED3" w:rsidRPr="0068497F" w:rsidRDefault="00696ED3" w:rsidP="0069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набути навичок практичної роботи аналітиків у сфері міжнародних відносин і зовнішньої політики;</w:t>
            </w:r>
          </w:p>
        </w:tc>
      </w:tr>
      <w:tr w:rsidR="00696ED3" w:rsidRPr="005D620C" w:rsidTr="00696ED3">
        <w:tc>
          <w:tcPr>
            <w:tcW w:w="51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РН12</w:t>
            </w:r>
          </w:p>
        </w:tc>
        <w:tc>
          <w:tcPr>
            <w:tcW w:w="94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РН12.1 – П1</w:t>
            </w:r>
          </w:p>
        </w:tc>
        <w:tc>
          <w:tcPr>
            <w:tcW w:w="3548" w:type="pct"/>
          </w:tcPr>
          <w:p w:rsidR="00696ED3" w:rsidRPr="0068497F" w:rsidRDefault="00696ED3" w:rsidP="0069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набути практичних навичок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аналітичного перекладу іншомовних текстів з міжнародних відносин</w:t>
            </w:r>
            <w:r w:rsidRPr="00684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96ED3" w:rsidRPr="005D620C" w:rsidTr="00696ED3">
        <w:tc>
          <w:tcPr>
            <w:tcW w:w="51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РН13</w:t>
            </w:r>
          </w:p>
        </w:tc>
        <w:tc>
          <w:tcPr>
            <w:tcW w:w="94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РН13.1 – П1</w:t>
            </w:r>
          </w:p>
        </w:tc>
        <w:tc>
          <w:tcPr>
            <w:tcW w:w="3548" w:type="pct"/>
          </w:tcPr>
          <w:p w:rsidR="00696ED3" w:rsidRPr="00696ED3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усно, письмово та візуально представляти результат власного аналізу та відповідати на питання</w:t>
            </w:r>
          </w:p>
        </w:tc>
      </w:tr>
      <w:tr w:rsidR="00696ED3" w:rsidRPr="005D620C" w:rsidTr="00696ED3">
        <w:tc>
          <w:tcPr>
            <w:tcW w:w="511" w:type="pct"/>
          </w:tcPr>
          <w:p w:rsidR="00696ED3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РН14</w:t>
            </w:r>
          </w:p>
        </w:tc>
        <w:tc>
          <w:tcPr>
            <w:tcW w:w="941" w:type="pct"/>
          </w:tcPr>
          <w:p w:rsidR="00696ED3" w:rsidRPr="005D620C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РН14.1 – П1</w:t>
            </w:r>
          </w:p>
        </w:tc>
        <w:tc>
          <w:tcPr>
            <w:tcW w:w="3548" w:type="pct"/>
          </w:tcPr>
          <w:p w:rsidR="00696ED3" w:rsidRPr="00696ED3" w:rsidRDefault="00696ED3" w:rsidP="0069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користуватися пошуковими системами та базами даних щодо науково-популярних текстів з міжнародних відносин</w:t>
            </w:r>
          </w:p>
        </w:tc>
      </w:tr>
      <w:tr w:rsidR="00F65ADC" w:rsidRPr="005D620C" w:rsidTr="00696ED3">
        <w:tc>
          <w:tcPr>
            <w:tcW w:w="511" w:type="pct"/>
          </w:tcPr>
          <w:p w:rsidR="00F65ADC" w:rsidRDefault="00F65ADC" w:rsidP="00CE4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РН14</w:t>
            </w:r>
          </w:p>
        </w:tc>
        <w:tc>
          <w:tcPr>
            <w:tcW w:w="941" w:type="pct"/>
          </w:tcPr>
          <w:p w:rsidR="00F65ADC" w:rsidRPr="005D620C" w:rsidRDefault="00F65ADC" w:rsidP="00F6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П1</w:t>
            </w:r>
          </w:p>
        </w:tc>
        <w:tc>
          <w:tcPr>
            <w:tcW w:w="3548" w:type="pct"/>
          </w:tcPr>
          <w:p w:rsidR="00F65ADC" w:rsidRPr="00F65ADC" w:rsidRDefault="00F65ADC" w:rsidP="00F6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Користуватися пакетом прикладних програм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F65ADC">
              <w:rPr>
                <w:rFonts w:ascii="Times New Roman" w:hAnsi="Times New Roman" w:cs="Times New Roman"/>
                <w:sz w:val="28"/>
                <w:szCs w:val="28"/>
              </w:rPr>
              <w:t xml:space="preserve"> 365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оформлювати документи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F65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65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F65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F65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F65A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bookmarkEnd w:id="1"/>
      <w:bookmarkEnd w:id="2"/>
    </w:tbl>
    <w:p w:rsidR="005D620C" w:rsidRPr="005D620C" w:rsidRDefault="005D620C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C4" w:rsidRDefault="007B6AC4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AC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планом освітньо-професійної програми «Міжнародні відносини, суспільні комунікації та регіональні студії» передбачено проходження студентами </w:t>
      </w:r>
      <w:r w:rsidR="0078260E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Pr="007B6AC4">
        <w:rPr>
          <w:rFonts w:ascii="Times New Roman" w:hAnsi="Times New Roman" w:cs="Times New Roman"/>
          <w:sz w:val="28"/>
          <w:szCs w:val="28"/>
          <w:lang w:val="uk-UA"/>
        </w:rPr>
        <w:t xml:space="preserve"> практики</w:t>
      </w:r>
      <w:r w:rsidR="001565F1">
        <w:rPr>
          <w:rFonts w:ascii="Times New Roman" w:hAnsi="Times New Roman" w:cs="Times New Roman"/>
          <w:sz w:val="28"/>
          <w:szCs w:val="28"/>
          <w:lang w:val="uk-UA"/>
        </w:rPr>
        <w:t xml:space="preserve"> згідно з графіком навчального процесу</w:t>
      </w:r>
      <w:r w:rsidRPr="007B6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AC4" w:rsidRDefault="007B6AC4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AC4">
        <w:rPr>
          <w:rFonts w:ascii="Times New Roman" w:hAnsi="Times New Roman" w:cs="Times New Roman"/>
          <w:sz w:val="28"/>
          <w:szCs w:val="28"/>
          <w:lang w:val="uk-UA"/>
        </w:rPr>
        <w:t>Студент починає практику з вивчення вимог та завдань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AC4" w:rsidRDefault="007B6AC4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AC4">
        <w:rPr>
          <w:rFonts w:ascii="Times New Roman" w:hAnsi="Times New Roman" w:cs="Times New Roman"/>
          <w:sz w:val="28"/>
          <w:szCs w:val="28"/>
          <w:lang w:val="uk-UA"/>
        </w:rPr>
        <w:t>На наступному етапі студент виконує індивідуальне завдання, ґрунтуючись на емпіричних матеріалах, узгоджених з керівником практики.</w:t>
      </w:r>
    </w:p>
    <w:p w:rsidR="00F6248B" w:rsidRDefault="00F6248B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Завершується навчальна практика складанням та захистом звіту з навчальної практики.</w:t>
      </w:r>
    </w:p>
    <w:p w:rsidR="00696ED3" w:rsidRPr="000D7C51" w:rsidRDefault="00696ED3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F9" w:rsidRPr="000D7C51" w:rsidRDefault="008A6EF9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F9" w:rsidRPr="000D7C51" w:rsidRDefault="008A6EF9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F9" w:rsidRDefault="008A6EF9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EC9" w:rsidRPr="00326EC9" w:rsidRDefault="00326EC9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96E" w:rsidRPr="0041396E" w:rsidRDefault="00AE672D" w:rsidP="00020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3 </w:t>
      </w:r>
      <w:r w:rsidR="0041396E" w:rsidRPr="0041396E">
        <w:rPr>
          <w:rFonts w:ascii="Times New Roman" w:hAnsi="Times New Roman" w:cs="Times New Roman"/>
          <w:b/>
          <w:sz w:val="28"/>
          <w:szCs w:val="28"/>
        </w:rPr>
        <w:t>ІНДИВІДУАЛЬНІ ЗАВДАННЯ ЗДОБУВАЧІВ ВИЩОЇ ОСВІТИ НА ПРАКТИКУ</w:t>
      </w:r>
    </w:p>
    <w:p w:rsidR="00AE672D" w:rsidRDefault="00AE672D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розробляється керівником практики індивідуально для кожного студента. Зміст індивідуального завдання повинен враховувати актуальні проблеми сфери міжнародних відносин.</w:t>
      </w: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Зміст індивідуальних завдань формується з урахуванням поточного стану міжнародних відносин, зовнішньої політики провідних країн світу, зовнішньої політики та інтересів України на міжнародній арені. </w:t>
      </w:r>
      <w:r w:rsidR="00F65ADC">
        <w:rPr>
          <w:rFonts w:ascii="Times New Roman" w:hAnsi="Times New Roman" w:cs="Times New Roman"/>
          <w:sz w:val="28"/>
          <w:szCs w:val="28"/>
          <w:lang w:val="uk-UA"/>
        </w:rPr>
        <w:t>Теми індивідуальних завдань</w:t>
      </w: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 об’єднані в наступні групи:</w:t>
      </w:r>
    </w:p>
    <w:p w:rsidR="00A6763E" w:rsidRDefault="00D26F8D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зовнішня політика</w:t>
      </w:r>
      <w:r w:rsidR="00234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6E" w:rsidRPr="00A6763E">
        <w:rPr>
          <w:rFonts w:ascii="Times New Roman" w:hAnsi="Times New Roman" w:cs="Times New Roman"/>
          <w:sz w:val="28"/>
          <w:szCs w:val="28"/>
          <w:lang w:val="uk-UA"/>
        </w:rPr>
        <w:t>країн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763E" w:rsidRDefault="00A6763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65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зовнішня політика країн Сходу;</w:t>
      </w: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- актуальні міжнародні проблеми та конфлікти;</w:t>
      </w: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- зовнішня політика України.</w:t>
      </w: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На основі цих напрямів здійснюється конкретна діяльність студента при проходженні практики.</w:t>
      </w:r>
    </w:p>
    <w:p w:rsidR="008A6EF9" w:rsidRPr="000D7C51" w:rsidRDefault="008A6EF9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індивідуальних завдань </w:t>
      </w:r>
      <w:r w:rsidR="00A6763E">
        <w:rPr>
          <w:rFonts w:ascii="Times New Roman" w:hAnsi="Times New Roman" w:cs="Times New Roman"/>
          <w:sz w:val="28"/>
          <w:szCs w:val="28"/>
          <w:lang w:val="uk-UA"/>
        </w:rPr>
        <w:t>передбачає виділення двох етапів</w:t>
      </w:r>
      <w:r w:rsidRPr="004139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6EF9" w:rsidRPr="000D7C51" w:rsidRDefault="008A6EF9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1. Загальна оцінка обраного напрямку дослідження (</w:t>
      </w:r>
      <w:proofErr w:type="spellStart"/>
      <w:r w:rsidRPr="0041396E">
        <w:rPr>
          <w:rFonts w:ascii="Times New Roman" w:hAnsi="Times New Roman" w:cs="Times New Roman"/>
          <w:sz w:val="28"/>
          <w:szCs w:val="28"/>
          <w:lang w:val="uk-UA"/>
        </w:rPr>
        <w:t>медіамоніто</w:t>
      </w:r>
      <w:r w:rsidR="00A6763E">
        <w:rPr>
          <w:rFonts w:ascii="Times New Roman" w:hAnsi="Times New Roman" w:cs="Times New Roman"/>
          <w:sz w:val="28"/>
          <w:szCs w:val="28"/>
          <w:lang w:val="uk-UA"/>
        </w:rPr>
        <w:t>ринг</w:t>
      </w:r>
      <w:proofErr w:type="spellEnd"/>
      <w:r w:rsidR="00A6763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A6E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763E">
        <w:rPr>
          <w:rFonts w:ascii="Times New Roman" w:hAnsi="Times New Roman" w:cs="Times New Roman"/>
          <w:sz w:val="28"/>
          <w:szCs w:val="28"/>
          <w:lang w:val="uk-UA"/>
        </w:rPr>
        <w:t xml:space="preserve"> рамках цього етапу</w:t>
      </w: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здійснені наступні кроки:</w:t>
      </w: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- складання загального уявлення про обрану тему </w:t>
      </w:r>
      <w:r w:rsidR="008A6EF9">
        <w:rPr>
          <w:rFonts w:ascii="Times New Roman" w:hAnsi="Times New Roman" w:cs="Times New Roman"/>
          <w:sz w:val="28"/>
          <w:szCs w:val="28"/>
          <w:lang w:val="uk-UA"/>
        </w:rPr>
        <w:t>моніторингу</w:t>
      </w:r>
      <w:r w:rsidR="00904C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- пошук інформації з різних джерел щодо обраної тематики моніторингу;</w:t>
      </w: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- її фіксація у відповідній таблиці з метою подальшої обробки та аналізу;</w:t>
      </w: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- заповнення відповідної таблиці з коротким змістом та посиланнями;</w:t>
      </w:r>
    </w:p>
    <w:p w:rsidR="0041396E" w:rsidRP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- визначення ключових моментів, пріоритетів і питань, які визначають рішення акторів міжнародних відносин.</w:t>
      </w:r>
    </w:p>
    <w:p w:rsidR="008A6EF9" w:rsidRDefault="008A6EF9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96E" w:rsidRDefault="0041396E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Медіа моніторинг повинен містити не менше 25-30 інформаційних новин або повідомлень (3-5 сторінок), які розкривають тематику дослідження. Аналітична таблиця для моніторингу має містити графи «спікер» (хто висловлює позицію / думку), «короткий зміст», «тональність» (нейтральна, ворожа, стримана, позитивна) та «посилання», де вказуються інформаційні джерела для перевірки.</w:t>
      </w:r>
    </w:p>
    <w:p w:rsidR="008A6EF9" w:rsidRDefault="008A6EF9" w:rsidP="0002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EF9" w:rsidRDefault="008A6EF9" w:rsidP="008A6E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</w:p>
    <w:p w:rsidR="0041396E" w:rsidRDefault="0041396E" w:rsidP="008A6E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b/>
          <w:sz w:val="28"/>
          <w:szCs w:val="28"/>
          <w:lang w:val="uk-UA"/>
        </w:rPr>
        <w:t>Моніторинг має охоплювати новини та</w:t>
      </w:r>
      <w:r w:rsidR="00002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події, які сталися не пізніше 3-4</w:t>
      </w:r>
      <w:r w:rsidRPr="00413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останніх місяців з моменту отримання ін</w:t>
      </w:r>
      <w:r w:rsidR="00002543">
        <w:rPr>
          <w:rFonts w:ascii="Times New Roman" w:hAnsi="Times New Roman" w:cs="Times New Roman"/>
          <w:b/>
          <w:sz w:val="28"/>
          <w:szCs w:val="28"/>
          <w:lang w:val="uk-UA"/>
        </w:rPr>
        <w:t>дивідуального завдання</w:t>
      </w:r>
      <w:r w:rsidRPr="0041396E">
        <w:rPr>
          <w:rFonts w:ascii="Times New Roman" w:hAnsi="Times New Roman" w:cs="Times New Roman"/>
          <w:b/>
          <w:sz w:val="28"/>
          <w:szCs w:val="28"/>
          <w:lang w:val="uk-UA"/>
        </w:rPr>
        <w:t>, щоб бути максимально актуальним.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505"/>
        <w:gridCol w:w="3975"/>
        <w:gridCol w:w="1553"/>
        <w:gridCol w:w="2375"/>
      </w:tblGrid>
      <w:tr w:rsidR="0041396E" w:rsidTr="00B629B5">
        <w:tc>
          <w:tcPr>
            <w:tcW w:w="446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05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спікер</w:t>
            </w:r>
          </w:p>
        </w:tc>
        <w:tc>
          <w:tcPr>
            <w:tcW w:w="3975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Короткий зміст</w:t>
            </w:r>
          </w:p>
        </w:tc>
        <w:tc>
          <w:tcPr>
            <w:tcW w:w="1553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тональність</w:t>
            </w:r>
          </w:p>
        </w:tc>
        <w:tc>
          <w:tcPr>
            <w:tcW w:w="2375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посилання</w:t>
            </w:r>
          </w:p>
        </w:tc>
      </w:tr>
      <w:tr w:rsidR="0041396E" w:rsidTr="00B629B5">
        <w:tc>
          <w:tcPr>
            <w:tcW w:w="446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</w:tr>
      <w:tr w:rsidR="0041396E" w:rsidTr="00B629B5">
        <w:tc>
          <w:tcPr>
            <w:tcW w:w="446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</w:tr>
      <w:tr w:rsidR="0041396E" w:rsidTr="00B629B5">
        <w:tc>
          <w:tcPr>
            <w:tcW w:w="446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</w:tr>
      <w:tr w:rsidR="0041396E" w:rsidTr="00B629B5">
        <w:tc>
          <w:tcPr>
            <w:tcW w:w="446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</w:tr>
      <w:tr w:rsidR="0041396E" w:rsidTr="00B629B5">
        <w:tc>
          <w:tcPr>
            <w:tcW w:w="446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1396E" w:rsidRPr="009E3DBE" w:rsidRDefault="0041396E" w:rsidP="00B629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396E" w:rsidRDefault="0041396E" w:rsidP="0041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Наприклад, у випадку аналізу зовнішньої політики США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2693"/>
        <w:gridCol w:w="1843"/>
        <w:gridCol w:w="3225"/>
      </w:tblGrid>
      <w:tr w:rsidR="0041396E" w:rsidTr="008A6EF9">
        <w:tc>
          <w:tcPr>
            <w:tcW w:w="445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48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спікер</w:t>
            </w:r>
          </w:p>
        </w:tc>
        <w:tc>
          <w:tcPr>
            <w:tcW w:w="2693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Короткий зміст</w:t>
            </w:r>
          </w:p>
        </w:tc>
        <w:tc>
          <w:tcPr>
            <w:tcW w:w="1843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тональність</w:t>
            </w:r>
          </w:p>
        </w:tc>
        <w:tc>
          <w:tcPr>
            <w:tcW w:w="3225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посилання</w:t>
            </w:r>
          </w:p>
        </w:tc>
      </w:tr>
      <w:tr w:rsidR="0041396E" w:rsidRPr="00A07A49" w:rsidTr="008A6EF9">
        <w:tc>
          <w:tcPr>
            <w:tcW w:w="445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торгівлі США</w:t>
            </w:r>
          </w:p>
        </w:tc>
        <w:tc>
          <w:tcPr>
            <w:tcW w:w="2693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США запровадили санкції проти 33 китайських приватних компаній і державних установ.</w:t>
            </w:r>
          </w:p>
        </w:tc>
        <w:tc>
          <w:tcPr>
            <w:tcW w:w="1843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ворожа</w:t>
            </w:r>
          </w:p>
        </w:tc>
        <w:tc>
          <w:tcPr>
            <w:tcW w:w="3225" w:type="dxa"/>
            <w:vAlign w:val="center"/>
          </w:tcPr>
          <w:p w:rsidR="0041396E" w:rsidRPr="0041396E" w:rsidRDefault="0041396E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https://thebabel.com.ua/news/43987-bilshe-30-kitayskih-kompaniy-potrapili-pid-sankciji-ssha</w:t>
            </w:r>
          </w:p>
        </w:tc>
      </w:tr>
    </w:tbl>
    <w:p w:rsidR="0041396E" w:rsidRDefault="0041396E" w:rsidP="0066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96E" w:rsidRPr="0041396E" w:rsidRDefault="0041396E" w:rsidP="002F1A7E">
      <w:pPr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2. Підготовка звіту на основі попередньої таблиці </w:t>
      </w:r>
      <w:proofErr w:type="spellStart"/>
      <w:r w:rsidRPr="0041396E">
        <w:rPr>
          <w:rFonts w:ascii="Times New Roman" w:hAnsi="Times New Roman" w:cs="Times New Roman"/>
          <w:sz w:val="28"/>
          <w:szCs w:val="28"/>
          <w:lang w:val="uk-UA"/>
        </w:rPr>
        <w:t>медіамоніторингу</w:t>
      </w:r>
      <w:proofErr w:type="spellEnd"/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. Звіт має містити як зібрану емпіричну інформацію, дані, так і синтезовані висновки. </w:t>
      </w:r>
      <w:r w:rsidR="00904CC5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D26F8D">
        <w:rPr>
          <w:rFonts w:ascii="Times New Roman" w:hAnsi="Times New Roman" w:cs="Times New Roman"/>
          <w:sz w:val="28"/>
          <w:szCs w:val="28"/>
          <w:lang w:val="uk-UA"/>
        </w:rPr>
        <w:t xml:space="preserve"> звіту має становити </w:t>
      </w:r>
      <w:r w:rsidR="008A6EF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26F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6EF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8A6E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1396E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41396E" w:rsidRPr="0041396E" w:rsidRDefault="0041396E" w:rsidP="002F1A7E">
      <w:pPr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Структурно звіт повинен складатись зі вступної частини, основних положень, висновків. Якщо, наприклад, темою дослідження є певна міжнародна проблема чи конфлікт, то у вступі слід коротко викласти історію їх еволюції, вплив на загальний стан міжнародної або регіональної системи, задіян</w:t>
      </w:r>
      <w:r w:rsidR="008A6E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 актор</w:t>
      </w:r>
      <w:r w:rsidR="008A6EF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 та їх інтереси. Якщо предметом моніторингу є зовнішня політика </w:t>
      </w:r>
      <w:r w:rsidR="008A6EF9">
        <w:rPr>
          <w:rFonts w:ascii="Times New Roman" w:hAnsi="Times New Roman" w:cs="Times New Roman"/>
          <w:sz w:val="28"/>
          <w:szCs w:val="28"/>
          <w:lang w:val="uk-UA"/>
        </w:rPr>
        <w:t>певної</w:t>
      </w: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 країни або України, то вступ має включати опис ролі та прагнень цієї країни на міжнародній арені, сучасний стан та потенціал.</w:t>
      </w:r>
    </w:p>
    <w:p w:rsidR="0041396E" w:rsidRPr="0041396E" w:rsidRDefault="0041396E" w:rsidP="002F1A7E">
      <w:pPr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положення змісту мають розкривати останні важливі події, акції та рішення міжнародних акторів у рамках теми дослідження, ключових спікерів (хто, як і чому висловлює в інформаційному просторі свої позиції). У випадку огляду міжнародних проблем та конфліктів слід обов’язково визначати перелік основних зацікавлених акторів, їх риторику та реальні інтереси. У випадку огляду зовнішньої політики певної країни головним є визначення пріоритетів її зовнішньополітичної уваги, політичні, економічні, </w:t>
      </w:r>
      <w:proofErr w:type="spellStart"/>
      <w:r w:rsidRPr="0041396E">
        <w:rPr>
          <w:rFonts w:ascii="Times New Roman" w:hAnsi="Times New Roman" w:cs="Times New Roman"/>
          <w:sz w:val="28"/>
          <w:szCs w:val="28"/>
          <w:lang w:val="uk-UA"/>
        </w:rPr>
        <w:t>безпекові</w:t>
      </w:r>
      <w:proofErr w:type="spellEnd"/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 інтереси, які вона просуває у різних регіонах, основні міжнародні проблеми для цієї країни.</w:t>
      </w:r>
    </w:p>
    <w:p w:rsidR="008A6EF9" w:rsidRDefault="0041396E" w:rsidP="002F1A7E">
      <w:pPr>
        <w:spacing w:after="12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Висновки повинні містити коротке узагальнення ма</w:t>
      </w:r>
      <w:r w:rsidR="00A6763E">
        <w:rPr>
          <w:rFonts w:ascii="Times New Roman" w:hAnsi="Times New Roman" w:cs="Times New Roman"/>
          <w:sz w:val="28"/>
          <w:szCs w:val="28"/>
          <w:lang w:val="uk-UA"/>
        </w:rPr>
        <w:t>теріалу, визначення тенденцій та</w:t>
      </w:r>
      <w:r w:rsidRPr="0041396E">
        <w:rPr>
          <w:rFonts w:ascii="Times New Roman" w:hAnsi="Times New Roman" w:cs="Times New Roman"/>
          <w:sz w:val="28"/>
          <w:szCs w:val="28"/>
          <w:lang w:val="uk-UA"/>
        </w:rPr>
        <w:t xml:space="preserve"> динаміки подій.</w:t>
      </w:r>
      <w:r w:rsidR="00234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53D" w:rsidRDefault="00D26F8D" w:rsidP="002F1A7E">
      <w:pPr>
        <w:spacing w:after="12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41396E" w:rsidRPr="0041396E">
        <w:rPr>
          <w:rFonts w:ascii="Times New Roman" w:hAnsi="Times New Roman" w:cs="Times New Roman"/>
          <w:sz w:val="28"/>
          <w:szCs w:val="28"/>
          <w:lang w:val="uk-UA"/>
        </w:rPr>
        <w:t>в межах виконання індивідуальних завдань, здобувачу вищої освіти слід викласти у таблицю зміст ключових інформаційних повідомлень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обраної теми</w:t>
      </w:r>
      <w:r w:rsidR="0041396E" w:rsidRPr="0041396E">
        <w:rPr>
          <w:rFonts w:ascii="Times New Roman" w:hAnsi="Times New Roman" w:cs="Times New Roman"/>
          <w:sz w:val="28"/>
          <w:szCs w:val="28"/>
          <w:lang w:val="uk-UA"/>
        </w:rPr>
        <w:t>, крит</w:t>
      </w:r>
      <w:r w:rsidR="00A6763E">
        <w:rPr>
          <w:rFonts w:ascii="Times New Roman" w:hAnsi="Times New Roman" w:cs="Times New Roman"/>
          <w:sz w:val="28"/>
          <w:szCs w:val="28"/>
          <w:lang w:val="uk-UA"/>
        </w:rPr>
        <w:t xml:space="preserve">ично оцінити зібрану інформацію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r w:rsidR="00A6763E">
        <w:rPr>
          <w:rFonts w:ascii="Times New Roman" w:hAnsi="Times New Roman" w:cs="Times New Roman"/>
          <w:sz w:val="28"/>
          <w:szCs w:val="28"/>
          <w:lang w:val="uk-UA"/>
        </w:rPr>
        <w:t>аналітичної обробки емпіричного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звіт.</w:t>
      </w:r>
    </w:p>
    <w:p w:rsidR="008A6EF9" w:rsidRDefault="008A6EF9" w:rsidP="002F1A7E">
      <w:pPr>
        <w:spacing w:after="12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A6EF9" w:rsidSect="00B82AA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3753D" w:rsidRPr="00D3753D" w:rsidRDefault="007D6422" w:rsidP="00DD6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D3753D" w:rsidRPr="00D3753D">
        <w:rPr>
          <w:rFonts w:ascii="Times New Roman" w:hAnsi="Times New Roman" w:cs="Times New Roman"/>
          <w:b/>
          <w:sz w:val="28"/>
          <w:szCs w:val="28"/>
          <w:lang w:val="uk-UA"/>
        </w:rPr>
        <w:t>. ТЕМИ ІНДИВІДУАЛЬНИХ ЗАВДАНЬ ДЛЯ СТУДЕНТІВ</w:t>
      </w:r>
    </w:p>
    <w:p w:rsidR="00D26F8D" w:rsidRDefault="00D26F8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26F8D" w:rsidRPr="00D26F8D" w:rsidRDefault="00D26F8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6F8D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овнішня політика країн Заходу</w:t>
      </w:r>
    </w:p>
    <w:p w:rsidR="00D3753D" w:rsidRP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1. Зовнішня політика США</w:t>
      </w:r>
    </w:p>
    <w:p w:rsidR="00D3753D" w:rsidRP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2. Зовнішня політика Канади</w:t>
      </w:r>
    </w:p>
    <w:p w:rsidR="00D3753D" w:rsidRP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3. Зовнішня політика Великої Британії</w:t>
      </w:r>
    </w:p>
    <w:p w:rsidR="00D3753D" w:rsidRP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4. Зовнішня політика Франції</w:t>
      </w:r>
    </w:p>
    <w:p w:rsidR="00D3753D" w:rsidRP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5. Зовнішня політика Німеччини</w:t>
      </w:r>
    </w:p>
    <w:p w:rsidR="00D3753D" w:rsidRP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6. Зовнішня політика Польщі</w:t>
      </w:r>
    </w:p>
    <w:p w:rsid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7. Зовнішня політика Іспанії</w:t>
      </w:r>
    </w:p>
    <w:p w:rsidR="00D26F8D" w:rsidRDefault="00D26F8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26F8D" w:rsidRPr="00D26F8D" w:rsidRDefault="00D26F8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Зовнішня політика країн Сходу</w:t>
      </w:r>
    </w:p>
    <w:p w:rsidR="00D3753D" w:rsidRP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8. Зовнішня політика Японії</w:t>
      </w:r>
    </w:p>
    <w:p w:rsidR="00D3753D" w:rsidRP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9. Зовнішня політика Індії</w:t>
      </w:r>
    </w:p>
    <w:p w:rsidR="00D3753D" w:rsidRDefault="00D3753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10. Зовнішня політика РФ</w:t>
      </w:r>
    </w:p>
    <w:p w:rsidR="00D26F8D" w:rsidRDefault="00D26F8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Утворення військово-політичного союзу </w:t>
      </w:r>
      <w:r w:rsidRPr="00D26F8D">
        <w:rPr>
          <w:rFonts w:ascii="Times New Roman" w:hAnsi="Times New Roman" w:cs="Times New Roman"/>
          <w:sz w:val="28"/>
          <w:szCs w:val="28"/>
          <w:lang w:val="en-US"/>
        </w:rPr>
        <w:t>AUKUS</w:t>
      </w:r>
      <w:r>
        <w:rPr>
          <w:rFonts w:ascii="Times New Roman" w:hAnsi="Times New Roman" w:cs="Times New Roman"/>
          <w:sz w:val="28"/>
          <w:szCs w:val="28"/>
        </w:rPr>
        <w:t xml:space="preserve"> у АТР</w:t>
      </w:r>
    </w:p>
    <w:p w:rsidR="00D26F8D" w:rsidRDefault="00D26F8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12. Пол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 Дж.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Байдена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АТР та стримування Китаю</w:t>
      </w:r>
    </w:p>
    <w:p w:rsidR="002F1A7E" w:rsidRDefault="00D26F8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Зовнішня політика Республіки Корея</w:t>
      </w:r>
    </w:p>
    <w:p w:rsidR="002F1A7E" w:rsidRPr="00D26F8D" w:rsidRDefault="002F1A7E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Зовнішня політика Туреччини</w:t>
      </w:r>
    </w:p>
    <w:p w:rsidR="00D26F8D" w:rsidRPr="00D3753D" w:rsidRDefault="00D26F8D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A7E" w:rsidRPr="002F1A7E" w:rsidRDefault="002F1A7E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A7E">
        <w:rPr>
          <w:rFonts w:ascii="Times New Roman" w:hAnsi="Times New Roman" w:cs="Times New Roman"/>
          <w:i/>
          <w:sz w:val="28"/>
          <w:szCs w:val="28"/>
          <w:lang w:val="uk-UA"/>
        </w:rPr>
        <w:t>Актуальні 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іжнародні проблеми та конфлікти</w:t>
      </w:r>
    </w:p>
    <w:p w:rsidR="00DD66F0" w:rsidRDefault="002F1A7E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3753D" w:rsidRPr="00D375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Військове вторгнення РФ в Україну</w:t>
      </w:r>
    </w:p>
    <w:p w:rsidR="00D3753D" w:rsidRPr="00D3753D" w:rsidRDefault="00DD66F0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D3753D" w:rsidRPr="00D3753D">
        <w:rPr>
          <w:rFonts w:ascii="Times New Roman" w:hAnsi="Times New Roman" w:cs="Times New Roman"/>
          <w:sz w:val="28"/>
          <w:szCs w:val="28"/>
          <w:lang w:val="uk-UA"/>
        </w:rPr>
        <w:t>Вихід Великої Британії з ЄС</w:t>
      </w:r>
    </w:p>
    <w:p w:rsidR="00D3753D" w:rsidRPr="00D3753D" w:rsidRDefault="002F1A7E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3753D" w:rsidRPr="00D3753D">
        <w:rPr>
          <w:rFonts w:ascii="Times New Roman" w:hAnsi="Times New Roman" w:cs="Times New Roman"/>
          <w:sz w:val="28"/>
          <w:szCs w:val="28"/>
          <w:lang w:val="uk-UA"/>
        </w:rPr>
        <w:t>. Сирійська криза</w:t>
      </w:r>
    </w:p>
    <w:p w:rsidR="00D3753D" w:rsidRPr="00D3753D" w:rsidRDefault="002F1A7E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3753D" w:rsidRPr="00D3753D">
        <w:rPr>
          <w:rFonts w:ascii="Times New Roman" w:hAnsi="Times New Roman" w:cs="Times New Roman"/>
          <w:sz w:val="28"/>
          <w:szCs w:val="28"/>
          <w:lang w:val="uk-UA"/>
        </w:rPr>
        <w:t>. Енергетична криза у світі, викликана епідемією Covid-19</w:t>
      </w:r>
    </w:p>
    <w:p w:rsidR="00D3753D" w:rsidRPr="00D3753D" w:rsidRDefault="002F1A7E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3753D" w:rsidRPr="00D3753D">
        <w:rPr>
          <w:rFonts w:ascii="Times New Roman" w:hAnsi="Times New Roman" w:cs="Times New Roman"/>
          <w:sz w:val="28"/>
          <w:szCs w:val="28"/>
          <w:lang w:val="uk-UA"/>
        </w:rPr>
        <w:t>. Боротьба за Арктику між північними країнами</w:t>
      </w:r>
    </w:p>
    <w:p w:rsidR="002F1A7E" w:rsidRDefault="00DD66F0" w:rsidP="00DD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3753D" w:rsidRPr="00D375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1A7E">
        <w:rPr>
          <w:rFonts w:ascii="Times New Roman" w:hAnsi="Times New Roman" w:cs="Times New Roman"/>
          <w:sz w:val="28"/>
          <w:szCs w:val="28"/>
          <w:lang w:val="uk-UA"/>
        </w:rPr>
        <w:t xml:space="preserve"> Загострення ситуації навколо Тайваню</w:t>
      </w:r>
    </w:p>
    <w:p w:rsidR="002F1A7E" w:rsidRDefault="002F1A7E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Внутрішньополітична ситуація та динаміка в Афганістані після приходу до влади руху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Талібан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F1A7E" w:rsidRDefault="002F1A7E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Внутрішні проблеми ЄС на фоні пандемії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євроскептицизму</w:t>
      </w:r>
      <w:proofErr w:type="spellEnd"/>
    </w:p>
    <w:p w:rsidR="002F1A7E" w:rsidRDefault="002F1A7E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2543">
        <w:rPr>
          <w:rFonts w:ascii="Times New Roman" w:hAnsi="Times New Roman" w:cs="Times New Roman"/>
          <w:sz w:val="28"/>
          <w:szCs w:val="28"/>
          <w:lang w:val="uk-UA"/>
        </w:rPr>
        <w:t>Діяльність та позиція МВФ в умовах глобальної невизначеності</w:t>
      </w:r>
    </w:p>
    <w:p w:rsidR="00DD66F0" w:rsidRDefault="00DD66F0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1A7E" w:rsidRPr="00002543" w:rsidRDefault="00002543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2543">
        <w:rPr>
          <w:rFonts w:ascii="Times New Roman" w:hAnsi="Times New Roman" w:cs="Times New Roman"/>
          <w:i/>
          <w:sz w:val="28"/>
          <w:szCs w:val="28"/>
          <w:lang w:val="uk-UA"/>
        </w:rPr>
        <w:t>Зовнішня політика України</w:t>
      </w:r>
    </w:p>
    <w:p w:rsidR="002F1A7E" w:rsidRDefault="00002543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Українсько-американські відносини</w:t>
      </w:r>
    </w:p>
    <w:p w:rsidR="00002543" w:rsidRDefault="00002543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.Відносини України та ЄС</w:t>
      </w:r>
    </w:p>
    <w:p w:rsidR="00002543" w:rsidRDefault="00002543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Українсько-польські відносини</w:t>
      </w:r>
    </w:p>
    <w:p w:rsidR="00002543" w:rsidRDefault="00002543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Українсько-угорські відносини</w:t>
      </w:r>
    </w:p>
    <w:p w:rsidR="00002543" w:rsidRDefault="00002543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66F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Діяльність регіонального формату «Асоційоване тріо» (Україна, Грузія, Молдова)</w:t>
      </w:r>
    </w:p>
    <w:p w:rsidR="00002543" w:rsidRDefault="00DD66F0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02543">
        <w:rPr>
          <w:rFonts w:ascii="Times New Roman" w:hAnsi="Times New Roman" w:cs="Times New Roman"/>
          <w:sz w:val="28"/>
          <w:szCs w:val="28"/>
          <w:lang w:val="uk-UA"/>
        </w:rPr>
        <w:t>. Українсько-білоруські відносини</w:t>
      </w:r>
    </w:p>
    <w:p w:rsidR="00002543" w:rsidRDefault="00DD66F0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02543">
        <w:rPr>
          <w:rFonts w:ascii="Times New Roman" w:hAnsi="Times New Roman" w:cs="Times New Roman"/>
          <w:sz w:val="28"/>
          <w:szCs w:val="28"/>
          <w:lang w:val="uk-UA"/>
        </w:rPr>
        <w:t>. Активність України у міжнародних організаціях</w:t>
      </w:r>
    </w:p>
    <w:p w:rsidR="00DD66F0" w:rsidRDefault="00DD66F0" w:rsidP="00DD66F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3D" w:rsidRDefault="00D3753D" w:rsidP="00DD6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53D" w:rsidRPr="00D3753D" w:rsidRDefault="007D6422" w:rsidP="00D375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D37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3753D" w:rsidRPr="00D3753D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ЩО РЕГЛАМЕНТУЮТЬ НАПРАВЛЕННЯ ЗДОБУВАЧІВ ВИЩОЇ ОСВІТИ НА ПРАКТИКУ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3406A">
        <w:rPr>
          <w:rFonts w:ascii="Times New Roman" w:hAnsi="Times New Roman" w:cs="Times New Roman"/>
          <w:sz w:val="28"/>
          <w:szCs w:val="28"/>
          <w:lang w:val="uk-UA"/>
        </w:rPr>
        <w:t>Оскільки навчальна практика відбувається в університеті, спеціальні документи не потрібні</w:t>
      </w:r>
      <w:r w:rsidRPr="00D375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EF6" w:rsidRDefault="00795EF6" w:rsidP="00D375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53D" w:rsidRPr="00D3753D" w:rsidRDefault="00E93BE8" w:rsidP="00D375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3753D" w:rsidRPr="00D3753D">
        <w:rPr>
          <w:rFonts w:ascii="Times New Roman" w:hAnsi="Times New Roman" w:cs="Times New Roman"/>
          <w:b/>
          <w:sz w:val="28"/>
          <w:szCs w:val="28"/>
          <w:lang w:val="uk-UA"/>
        </w:rPr>
        <w:t>. ОБОВ’ЯЗКИ ЗДОБУВАЧІВ ВИЩОЇ ОСВІТИ НА ПРАКТИЦІ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при проходженні практики зобов’язані: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до початку практики одержати від керівника практики індивідуальн</w:t>
      </w:r>
      <w:r w:rsidR="002340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3753D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інструктаж про порядок проходження практики та з техніки безпеки, консультації щодо оформлення усіх необхідних документів;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95EF6">
        <w:rPr>
          <w:rFonts w:ascii="Times New Roman" w:hAnsi="Times New Roman" w:cs="Times New Roman"/>
          <w:sz w:val="28"/>
          <w:szCs w:val="28"/>
          <w:lang w:val="uk-UA"/>
        </w:rPr>
        <w:t xml:space="preserve"> у повному обсязі виконувати</w:t>
      </w:r>
      <w:r w:rsidRPr="00D3753D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передбачені програмою практики;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дотримуватися правил охорони праці, техніки безпеки;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нести відповідальність за виконану роботу;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своєчасно подати звіт про проходження практики та захистити його</w:t>
      </w:r>
      <w:r w:rsidR="00234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У разі невиконання вимог, які висуваються практиканту, він може бути відсторонений від подальшого проходження практики.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3D" w:rsidRPr="00D3753D" w:rsidRDefault="00CE445D" w:rsidP="00D375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3753D" w:rsidRPr="00D375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53D" w:rsidRPr="00D3753D">
        <w:rPr>
          <w:rFonts w:ascii="Times New Roman" w:hAnsi="Times New Roman" w:cs="Times New Roman"/>
          <w:b/>
          <w:sz w:val="28"/>
          <w:szCs w:val="28"/>
          <w:lang w:val="uk-UA"/>
        </w:rPr>
        <w:t>ОБОВ’ЯЗКИ КЕРІВНИКІВ ПРАКТИК</w:t>
      </w:r>
      <w:r w:rsidR="0023406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3753D" w:rsidRPr="00D37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КАФЕДР</w:t>
      </w:r>
      <w:r w:rsidR="0023406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3753D" w:rsidRPr="00D37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3753D">
        <w:rPr>
          <w:rFonts w:ascii="Times New Roman" w:hAnsi="Times New Roman" w:cs="Times New Roman"/>
          <w:sz w:val="28"/>
          <w:szCs w:val="28"/>
          <w:lang w:val="uk-UA"/>
        </w:rPr>
        <w:t>.1 Основні обов’язки керівника практики від кафедри: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проведення інструктажу про порядок проходження практики </w:t>
      </w:r>
      <w:r w:rsidR="0023406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3753D">
        <w:rPr>
          <w:rFonts w:ascii="Times New Roman" w:hAnsi="Times New Roman" w:cs="Times New Roman"/>
          <w:sz w:val="28"/>
          <w:szCs w:val="28"/>
          <w:lang w:val="uk-UA"/>
        </w:rPr>
        <w:t>з охорони праці;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надання здобувачам вищої освіти - практикантам методичних рекомендацій</w:t>
      </w:r>
      <w:r w:rsidR="002340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ознайомлення здобувачів вищої освіти із системою звітності з практики, а саме: подання письмового звіту, оформлення виконаного індивідуального завдання, захист звіту;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проведення зі здобувачами вищої освіти попереднього обговорення змісту й результатів практики, потреб змін програм тощо;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розробка тематик індивідуальних завдань;</w:t>
      </w:r>
    </w:p>
    <w:p w:rsidR="00D3753D" w:rsidRPr="00D3753D" w:rsidRDefault="00D3753D" w:rsidP="00795E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 xml:space="preserve">- контроль за своєчасним </w:t>
      </w:r>
      <w:r w:rsidR="00795EF6">
        <w:rPr>
          <w:rFonts w:ascii="Times New Roman" w:hAnsi="Times New Roman" w:cs="Times New Roman"/>
          <w:sz w:val="28"/>
          <w:szCs w:val="28"/>
          <w:lang w:val="uk-UA"/>
        </w:rPr>
        <w:t>початком практики здобувачами вищої освіти</w:t>
      </w:r>
      <w:r w:rsidRPr="00D3753D">
        <w:rPr>
          <w:rFonts w:ascii="Times New Roman" w:hAnsi="Times New Roman" w:cs="Times New Roman"/>
          <w:sz w:val="28"/>
          <w:szCs w:val="28"/>
          <w:lang w:val="uk-UA"/>
        </w:rPr>
        <w:t>, виконанням програми практики та дотриманням термінів її проведення;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надання методичної допомоги здобувачам вищої освіти під час виконання ними індивідуальних завдань і збору матеріалів;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проведення консультацій щодо обробки зібраного матеріалу та його використання для звіту про практику;</w:t>
      </w:r>
    </w:p>
    <w:p w:rsidR="00D3753D" w:rsidRP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приймання та оцінювання звітів здобувачів вищої освіти про проходження практики;</w:t>
      </w:r>
    </w:p>
    <w:p w:rsidR="00D3753D" w:rsidRDefault="00D3753D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3D">
        <w:rPr>
          <w:rFonts w:ascii="Times New Roman" w:hAnsi="Times New Roman" w:cs="Times New Roman"/>
          <w:sz w:val="28"/>
          <w:szCs w:val="28"/>
          <w:lang w:val="uk-UA"/>
        </w:rPr>
        <w:t>- подання звітів здобувачів вищої освіти про практику для зберігання на кафедрі.</w:t>
      </w:r>
    </w:p>
    <w:p w:rsidR="0023406A" w:rsidRDefault="0023406A" w:rsidP="00D37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902" w:rsidRPr="002C3902" w:rsidRDefault="00CE445D" w:rsidP="002C3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C3902" w:rsidRPr="002C3902">
        <w:rPr>
          <w:rFonts w:ascii="Times New Roman" w:hAnsi="Times New Roman" w:cs="Times New Roman"/>
          <w:b/>
          <w:sz w:val="28"/>
          <w:szCs w:val="28"/>
          <w:lang w:val="uk-UA"/>
        </w:rPr>
        <w:t>. КРИТЕРІЇ ОЦІНЮВАННЯ ПРАКТИКИ</w:t>
      </w:r>
    </w:p>
    <w:p w:rsidR="002C3902" w:rsidRPr="002C3902" w:rsidRDefault="002C3902" w:rsidP="002C3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</w:t>
      </w:r>
      <w:r w:rsidRPr="002C3902">
        <w:rPr>
          <w:rFonts w:ascii="Times New Roman" w:hAnsi="Times New Roman" w:cs="Times New Roman"/>
          <w:sz w:val="28"/>
          <w:szCs w:val="28"/>
          <w:lang w:val="uk-UA"/>
        </w:rPr>
        <w:t xml:space="preserve"> Звіт здобувачів вищої освіти з практики приймає керівник практики від кафедри після закінчення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терміну </w:t>
      </w:r>
      <w:r w:rsidRPr="002C3902">
        <w:rPr>
          <w:rFonts w:ascii="Times New Roman" w:hAnsi="Times New Roman" w:cs="Times New Roman"/>
          <w:sz w:val="28"/>
          <w:szCs w:val="28"/>
          <w:lang w:val="uk-UA"/>
        </w:rPr>
        <w:t>практики.</w:t>
      </w:r>
    </w:p>
    <w:p w:rsidR="002C3902" w:rsidRDefault="002C3902" w:rsidP="002C3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</w:t>
      </w:r>
      <w:r w:rsidRPr="002C3902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результатів практики студентів проводиться за 100-бальною шкалою з обов’язковим переведенням бальних оцінок до інституційної шкали. Оцінка за практику вноситься до заліково-екзаменаційної відомості і залікової книжки здобувача вищої освіти за підписом керівника практики від кафедри.</w:t>
      </w:r>
    </w:p>
    <w:p w:rsidR="00A26F23" w:rsidRPr="00A26F23" w:rsidRDefault="00A26F23" w:rsidP="002C3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Pr="00A26F23" w:rsidRDefault="00A26F23" w:rsidP="00A26F23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>Шкали</w:t>
      </w:r>
      <w:proofErr w:type="spellEnd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>оцінювання</w:t>
      </w:r>
      <w:proofErr w:type="spellEnd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>навчальних</w:t>
      </w:r>
      <w:proofErr w:type="spellEnd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>досягнень</w:t>
      </w:r>
      <w:proofErr w:type="spellEnd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>студентів</w:t>
      </w:r>
      <w:proofErr w:type="spellEnd"/>
      <w:r w:rsidRPr="00A26F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НТУ «ДП»</w:t>
      </w:r>
    </w:p>
    <w:tbl>
      <w:tblPr>
        <w:tblW w:w="65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3524"/>
      </w:tblGrid>
      <w:tr w:rsidR="00A26F23" w:rsidRPr="00A26F23" w:rsidTr="00A26F2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3" w:rsidRPr="00A26F23" w:rsidRDefault="00A26F23" w:rsidP="000D7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6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Рейтингова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26F23" w:rsidRPr="00A26F23" w:rsidRDefault="00A26F23" w:rsidP="000D7C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6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Інституційна</w:t>
            </w:r>
            <w:proofErr w:type="spellEnd"/>
          </w:p>
        </w:tc>
      </w:tr>
      <w:tr w:rsidR="00A26F23" w:rsidRPr="00A26F23" w:rsidTr="00A26F2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3" w:rsidRPr="00A26F23" w:rsidRDefault="00A26F23" w:rsidP="000D7C5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F23">
              <w:rPr>
                <w:rFonts w:ascii="Times New Roman" w:hAnsi="Times New Roman" w:cs="Times New Roman"/>
                <w:bCs/>
                <w:sz w:val="28"/>
                <w:szCs w:val="28"/>
              </w:rPr>
              <w:t>90…100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26F23" w:rsidRPr="00A26F23" w:rsidRDefault="00A26F23" w:rsidP="00A26F23">
            <w:pPr>
              <w:snapToGrid w:val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  <w:proofErr w:type="spellEnd"/>
          </w:p>
        </w:tc>
      </w:tr>
      <w:tr w:rsidR="00A26F23" w:rsidRPr="00A26F23" w:rsidTr="00A26F2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3" w:rsidRPr="00A26F23" w:rsidRDefault="00A26F23" w:rsidP="000D7C5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F23">
              <w:rPr>
                <w:rFonts w:ascii="Times New Roman" w:hAnsi="Times New Roman" w:cs="Times New Roman"/>
                <w:bCs/>
                <w:sz w:val="28"/>
                <w:szCs w:val="28"/>
              </w:rPr>
              <w:t>74…89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26F23" w:rsidRPr="00A26F23" w:rsidRDefault="00A26F23" w:rsidP="00A26F23">
            <w:pPr>
              <w:snapToGrid w:val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</w:p>
        </w:tc>
      </w:tr>
      <w:tr w:rsidR="00A26F23" w:rsidRPr="00A26F23" w:rsidTr="00A26F2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3" w:rsidRPr="00A26F23" w:rsidRDefault="00A26F23" w:rsidP="000D7C5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F23">
              <w:rPr>
                <w:rFonts w:ascii="Times New Roman" w:hAnsi="Times New Roman" w:cs="Times New Roman"/>
                <w:bCs/>
                <w:sz w:val="28"/>
                <w:szCs w:val="28"/>
              </w:rPr>
              <w:t>60…73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26F23" w:rsidRPr="00A26F23" w:rsidRDefault="00A26F23" w:rsidP="00A26F23">
            <w:pPr>
              <w:snapToGrid w:val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>Satisfactory</w:t>
            </w:r>
            <w:proofErr w:type="spellEnd"/>
          </w:p>
        </w:tc>
      </w:tr>
      <w:tr w:rsidR="00A26F23" w:rsidRPr="00A26F23" w:rsidTr="00A26F2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3" w:rsidRPr="00A26F23" w:rsidRDefault="00A26F23" w:rsidP="000D7C5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F23">
              <w:rPr>
                <w:rFonts w:ascii="Times New Roman" w:hAnsi="Times New Roman" w:cs="Times New Roman"/>
                <w:bCs/>
                <w:sz w:val="28"/>
                <w:szCs w:val="28"/>
              </w:rPr>
              <w:t>0…59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26F23" w:rsidRPr="00A26F23" w:rsidRDefault="00A26F23" w:rsidP="00A26F23">
            <w:pPr>
              <w:snapToGrid w:val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  <w:proofErr w:type="spellEnd"/>
          </w:p>
        </w:tc>
      </w:tr>
    </w:tbl>
    <w:p w:rsidR="00A26F23" w:rsidRPr="00A26F23" w:rsidRDefault="00A26F23" w:rsidP="002C3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902" w:rsidRPr="002C3902" w:rsidRDefault="0095074E" w:rsidP="002C3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2C3902" w:rsidRPr="002C3902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Підсумкова оцінка за практику обчислюється як середній бал за результатами виконання індивідуального завдання.</w:t>
      </w:r>
    </w:p>
    <w:p w:rsidR="002C3902" w:rsidRPr="002C3902" w:rsidRDefault="0095074E" w:rsidP="002C3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2C3902" w:rsidRPr="002C3902">
        <w:rPr>
          <w:rFonts w:ascii="Times New Roman" w:hAnsi="Times New Roman" w:cs="Times New Roman"/>
          <w:sz w:val="28"/>
          <w:szCs w:val="28"/>
          <w:lang w:val="uk-UA"/>
        </w:rPr>
        <w:t xml:space="preserve"> Студенту, який не виконав програму практики з поважних причин, може бути надано право проходження практики повторно протягом наступного навчального року за індивідуальним графіком. Студент, який вдруге отримав негативну оцінку з практики, відраховується з університету.</w:t>
      </w:r>
    </w:p>
    <w:p w:rsidR="002C3902" w:rsidRDefault="002C3902" w:rsidP="002C3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902">
        <w:rPr>
          <w:rFonts w:ascii="Times New Roman" w:hAnsi="Times New Roman" w:cs="Times New Roman"/>
          <w:sz w:val="28"/>
          <w:szCs w:val="28"/>
          <w:lang w:val="uk-UA"/>
        </w:rPr>
        <w:t>Система оцінювання зна</w:t>
      </w:r>
      <w:r w:rsidR="00795EF6">
        <w:rPr>
          <w:rFonts w:ascii="Times New Roman" w:hAnsi="Times New Roman" w:cs="Times New Roman"/>
          <w:sz w:val="28"/>
          <w:szCs w:val="28"/>
          <w:lang w:val="uk-UA"/>
        </w:rPr>
        <w:t>нь студентів та звіту з навчальної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 наведена у табл.2</w:t>
      </w:r>
      <w:r w:rsidRPr="002C39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850"/>
        <w:gridCol w:w="1241"/>
      </w:tblGrid>
      <w:tr w:rsidR="002C3902" w:rsidTr="00B629B5">
        <w:tc>
          <w:tcPr>
            <w:tcW w:w="6204" w:type="dxa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Оцінка за зміст звіту</w:t>
            </w:r>
          </w:p>
        </w:tc>
        <w:tc>
          <w:tcPr>
            <w:tcW w:w="2409" w:type="dxa"/>
            <w:gridSpan w:val="2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за захист</w:t>
            </w:r>
          </w:p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звіту</w:t>
            </w:r>
          </w:p>
        </w:tc>
        <w:tc>
          <w:tcPr>
            <w:tcW w:w="1241" w:type="dxa"/>
          </w:tcPr>
          <w:p w:rsidR="002C3902" w:rsidRPr="002C3902" w:rsidRDefault="002C3902" w:rsidP="00B629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2C3902" w:rsidTr="00B629B5">
        <w:tc>
          <w:tcPr>
            <w:tcW w:w="6204" w:type="dxa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  <w:gridSpan w:val="2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41" w:type="dxa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2C3902" w:rsidTr="00B629B5">
        <w:tc>
          <w:tcPr>
            <w:tcW w:w="9854" w:type="dxa"/>
            <w:gridSpan w:val="4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за зміст звіту</w:t>
            </w:r>
          </w:p>
        </w:tc>
      </w:tr>
      <w:tr w:rsidR="002C3902" w:rsidTr="00B629B5">
        <w:tc>
          <w:tcPr>
            <w:tcW w:w="7763" w:type="dxa"/>
            <w:gridSpan w:val="2"/>
          </w:tcPr>
          <w:p w:rsidR="002C3902" w:rsidRPr="002C3902" w:rsidRDefault="002C3902" w:rsidP="00B629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Відповідність змісту звіту меті та задачам практики, повнота та глибина розкриття питань, самостійність проходження практики, підготовки звіту</w:t>
            </w:r>
          </w:p>
        </w:tc>
        <w:tc>
          <w:tcPr>
            <w:tcW w:w="2091" w:type="dxa"/>
            <w:gridSpan w:val="2"/>
            <w:vAlign w:val="center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C3902" w:rsidTr="00B629B5">
        <w:tc>
          <w:tcPr>
            <w:tcW w:w="7763" w:type="dxa"/>
            <w:gridSpan w:val="2"/>
          </w:tcPr>
          <w:p w:rsidR="002C3902" w:rsidRPr="002C3902" w:rsidRDefault="002C3902" w:rsidP="00C057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Додержання вимог щодо оформлення звіту</w:t>
            </w:r>
            <w:r w:rsidR="00C057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(формат сторінки – книжкова, А4; поля 2,2,2,2 з усіх боків; шрифт </w:t>
            </w:r>
            <w:r w:rsidR="00C05781">
              <w:rPr>
                <w:rFonts w:ascii="Times New Roman" w:hAnsi="Times New Roman"/>
                <w:sz w:val="28"/>
                <w:szCs w:val="28"/>
                <w:lang w:val="en-US"/>
              </w:rPr>
              <w:t>Times</w:t>
            </w:r>
            <w:r w:rsidR="00C05781" w:rsidRPr="00C05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781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="00C05781" w:rsidRPr="00C05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781"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="00C05781">
              <w:rPr>
                <w:rFonts w:ascii="Times New Roman" w:hAnsi="Times New Roman"/>
                <w:sz w:val="28"/>
                <w:szCs w:val="28"/>
                <w:lang w:val="uk-UA"/>
              </w:rPr>
              <w:t>, 14; інтервал між рядками 1,5; абзацний відступ 1,25). Приклад оформлення у додатку.</w:t>
            </w:r>
          </w:p>
        </w:tc>
        <w:tc>
          <w:tcPr>
            <w:tcW w:w="2091" w:type="dxa"/>
            <w:gridSpan w:val="2"/>
            <w:vAlign w:val="center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C3902" w:rsidTr="00B629B5">
        <w:tc>
          <w:tcPr>
            <w:tcW w:w="7763" w:type="dxa"/>
            <w:gridSpan w:val="2"/>
          </w:tcPr>
          <w:p w:rsidR="002C3902" w:rsidRPr="002C3902" w:rsidRDefault="002C3902" w:rsidP="00B629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Ґрунтовність медіа моніторингу, що характеризують виконану роботу</w:t>
            </w:r>
          </w:p>
        </w:tc>
        <w:tc>
          <w:tcPr>
            <w:tcW w:w="2091" w:type="dxa"/>
            <w:gridSpan w:val="2"/>
            <w:vAlign w:val="center"/>
          </w:tcPr>
          <w:p w:rsidR="002C3902" w:rsidRPr="002C3902" w:rsidRDefault="00795EF6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C3902" w:rsidTr="00B629B5">
        <w:tc>
          <w:tcPr>
            <w:tcW w:w="7763" w:type="dxa"/>
            <w:gridSpan w:val="2"/>
          </w:tcPr>
          <w:p w:rsidR="002C3902" w:rsidRPr="002C3902" w:rsidRDefault="00A26F23" w:rsidP="00A26F2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2C3902" w:rsidRPr="002C3902">
              <w:rPr>
                <w:rFonts w:ascii="Times New Roman" w:hAnsi="Times New Roman"/>
                <w:sz w:val="28"/>
                <w:szCs w:val="28"/>
                <w:lang w:val="uk-UA"/>
              </w:rPr>
              <w:t>ідповідальне ставлення до своїх обов’язків під час проходження практики, своєчасн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2C3902" w:rsidRPr="002C39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2C3902" w:rsidRPr="002C39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представлення звіту з практики</w:t>
            </w:r>
          </w:p>
        </w:tc>
        <w:tc>
          <w:tcPr>
            <w:tcW w:w="2091" w:type="dxa"/>
            <w:gridSpan w:val="2"/>
            <w:vAlign w:val="center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C3902" w:rsidTr="00B629B5">
        <w:tc>
          <w:tcPr>
            <w:tcW w:w="7763" w:type="dxa"/>
            <w:gridSpan w:val="2"/>
          </w:tcPr>
          <w:p w:rsidR="002C3902" w:rsidRPr="002C3902" w:rsidRDefault="00A26F23" w:rsidP="00A26F2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9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икористання при складанні </w:t>
            </w:r>
            <w:proofErr w:type="spellStart"/>
            <w:r w:rsidR="00795EF6">
              <w:rPr>
                <w:rFonts w:ascii="Times New Roman" w:hAnsi="Times New Roman"/>
                <w:sz w:val="28"/>
                <w:szCs w:val="28"/>
                <w:lang w:val="uk-UA"/>
              </w:rPr>
              <w:t>медіамоніторингу</w:t>
            </w:r>
            <w:proofErr w:type="spellEnd"/>
            <w:r w:rsidR="0079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англомовних джерел. Рекомендується, щоб вони складали не менше 20% всіх використаних джерел.</w:t>
            </w:r>
          </w:p>
        </w:tc>
        <w:tc>
          <w:tcPr>
            <w:tcW w:w="2091" w:type="dxa"/>
            <w:gridSpan w:val="2"/>
            <w:vAlign w:val="center"/>
          </w:tcPr>
          <w:p w:rsidR="002C3902" w:rsidRPr="002C3902" w:rsidRDefault="006D5401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C3902" w:rsidTr="00B629B5">
        <w:tc>
          <w:tcPr>
            <w:tcW w:w="7763" w:type="dxa"/>
            <w:gridSpan w:val="2"/>
          </w:tcPr>
          <w:p w:rsidR="002C3902" w:rsidRPr="002C3902" w:rsidRDefault="002C3902" w:rsidP="00B629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91" w:type="dxa"/>
            <w:gridSpan w:val="2"/>
            <w:vAlign w:val="center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2C3902" w:rsidTr="00B629B5">
        <w:tc>
          <w:tcPr>
            <w:tcW w:w="9854" w:type="dxa"/>
            <w:gridSpan w:val="4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за захист Звіту</w:t>
            </w:r>
          </w:p>
        </w:tc>
      </w:tr>
      <w:tr w:rsidR="002C3902" w:rsidTr="00B629B5">
        <w:tc>
          <w:tcPr>
            <w:tcW w:w="7763" w:type="dxa"/>
            <w:gridSpan w:val="2"/>
          </w:tcPr>
          <w:p w:rsidR="002C3902" w:rsidRPr="002C3902" w:rsidRDefault="002C3902" w:rsidP="00B629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Ступінь володіння матеріалом роботи в процесі її обговорення, чіткість відповідей на задані питання</w:t>
            </w:r>
          </w:p>
        </w:tc>
        <w:tc>
          <w:tcPr>
            <w:tcW w:w="2091" w:type="dxa"/>
            <w:gridSpan w:val="2"/>
            <w:vAlign w:val="center"/>
          </w:tcPr>
          <w:p w:rsidR="002C3902" w:rsidRPr="002C3902" w:rsidRDefault="006D5401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2C3902" w:rsidTr="00B629B5">
        <w:tc>
          <w:tcPr>
            <w:tcW w:w="7763" w:type="dxa"/>
            <w:gridSpan w:val="2"/>
          </w:tcPr>
          <w:p w:rsidR="002C3902" w:rsidRPr="002C3902" w:rsidRDefault="002C3902" w:rsidP="00B629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sz w:val="28"/>
                <w:szCs w:val="28"/>
                <w:lang w:val="uk-UA"/>
              </w:rPr>
              <w:t>Повнота розкриття змісту практики та звіту у доповіді та її якість</w:t>
            </w:r>
          </w:p>
        </w:tc>
        <w:tc>
          <w:tcPr>
            <w:tcW w:w="2091" w:type="dxa"/>
            <w:gridSpan w:val="2"/>
            <w:vAlign w:val="center"/>
          </w:tcPr>
          <w:p w:rsidR="002C3902" w:rsidRPr="002C3902" w:rsidRDefault="006D5401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D5401" w:rsidTr="00B629B5">
        <w:tc>
          <w:tcPr>
            <w:tcW w:w="7763" w:type="dxa"/>
            <w:gridSpan w:val="2"/>
          </w:tcPr>
          <w:p w:rsidR="006D5401" w:rsidRPr="002C3902" w:rsidRDefault="00A26F23" w:rsidP="00A26F2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D5401">
              <w:rPr>
                <w:rFonts w:ascii="Times New Roman" w:hAnsi="Times New Roman"/>
                <w:sz w:val="28"/>
                <w:szCs w:val="28"/>
                <w:lang w:val="uk-UA"/>
              </w:rPr>
              <w:t>резентаці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6D54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звіту практики у вигляді стислого (на 1 сторінку) резюме англійською мовою</w:t>
            </w:r>
          </w:p>
        </w:tc>
        <w:tc>
          <w:tcPr>
            <w:tcW w:w="2091" w:type="dxa"/>
            <w:gridSpan w:val="2"/>
            <w:vAlign w:val="center"/>
          </w:tcPr>
          <w:p w:rsidR="006D5401" w:rsidRDefault="006D5401" w:rsidP="00B629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C3902" w:rsidTr="00B629B5">
        <w:tc>
          <w:tcPr>
            <w:tcW w:w="7763" w:type="dxa"/>
            <w:gridSpan w:val="2"/>
          </w:tcPr>
          <w:p w:rsidR="002C3902" w:rsidRPr="002C3902" w:rsidRDefault="002C3902" w:rsidP="00B629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91" w:type="dxa"/>
            <w:gridSpan w:val="2"/>
            <w:vAlign w:val="center"/>
          </w:tcPr>
          <w:p w:rsidR="002C3902" w:rsidRPr="002C3902" w:rsidRDefault="002C3902" w:rsidP="00B629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9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</w:tr>
    </w:tbl>
    <w:p w:rsidR="0095074E" w:rsidRDefault="0095074E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Default="00A26F23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Default="00A26F23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Default="00A26F23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Default="00A26F23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Default="00A26F23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Default="00A26F23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Default="00A26F23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Default="00A26F23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Default="00A26F23" w:rsidP="009507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23" w:rsidRPr="00A26F23" w:rsidRDefault="00A26F23" w:rsidP="00A26F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6F2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 xml:space="preserve">Загальні критерії досягнення результатів навчання </w:t>
      </w:r>
      <w:r w:rsidRPr="00A26F2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br/>
        <w:t xml:space="preserve">для 6-го кваліфікаційного рівня за НРК </w:t>
      </w:r>
      <w:r w:rsidRPr="00A26F23">
        <w:rPr>
          <w:rFonts w:ascii="Times New Roman" w:hAnsi="Times New Roman" w:cs="Times New Roman"/>
          <w:b/>
          <w:i/>
          <w:sz w:val="28"/>
          <w:szCs w:val="28"/>
          <w:lang w:val="uk-UA"/>
        </w:rPr>
        <w:t>(бакалавр)</w:t>
      </w:r>
    </w:p>
    <w:p w:rsidR="00A26F23" w:rsidRPr="00A26F23" w:rsidRDefault="00A26F23" w:rsidP="00A26F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2"/>
        <w:gridCol w:w="6122"/>
        <w:gridCol w:w="19"/>
        <w:gridCol w:w="1466"/>
      </w:tblGrid>
      <w:tr w:rsidR="00A26F23" w:rsidRPr="00A26F23" w:rsidTr="000D7C51">
        <w:trPr>
          <w:tblHeader/>
        </w:trPr>
        <w:tc>
          <w:tcPr>
            <w:tcW w:w="1249" w:type="pct"/>
            <w:gridSpan w:val="2"/>
            <w:vAlign w:val="center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</w:t>
            </w:r>
          </w:p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оцінки </w:t>
            </w:r>
          </w:p>
        </w:tc>
      </w:tr>
      <w:tr w:rsidR="00A26F23" w:rsidRPr="00A26F23" w:rsidTr="000D7C51">
        <w:tc>
          <w:tcPr>
            <w:tcW w:w="5000" w:type="pct"/>
            <w:gridSpan w:val="5"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Знання</w:t>
            </w:r>
            <w:r w:rsidRPr="00A26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26F23" w:rsidRPr="00A26F23" w:rsidTr="000D7C51">
        <w:tc>
          <w:tcPr>
            <w:tcW w:w="1249" w:type="pct"/>
            <w:gridSpan w:val="2"/>
            <w:vMerge w:val="restart"/>
          </w:tcPr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A26F23" w:rsidRPr="00A26F23" w:rsidRDefault="00A26F23" w:rsidP="00A26F23">
            <w:pPr>
              <w:pStyle w:val="a4"/>
              <w:tabs>
                <w:tab w:val="left" w:pos="228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Відповідь відмінна – правильна, обґрунтована, осмислена. Характеризує наявність: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концептуальних знань;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високого ступеню володіння станом питання;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95-100</w:t>
            </w:r>
          </w:p>
        </w:tc>
      </w:tr>
      <w:tr w:rsidR="00A26F23" w:rsidRPr="00A26F23" w:rsidTr="000D7C51">
        <w:tc>
          <w:tcPr>
            <w:tcW w:w="1249" w:type="pct"/>
            <w:gridSpan w:val="2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pct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містить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грубі помилки або описки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90-94</w:t>
            </w:r>
          </w:p>
        </w:tc>
      </w:tr>
      <w:tr w:rsidR="00A26F23" w:rsidRPr="00A26F23" w:rsidTr="000D7C51">
        <w:tc>
          <w:tcPr>
            <w:tcW w:w="1249" w:type="pct"/>
            <w:gridSpan w:val="2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pct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85-89</w:t>
            </w:r>
          </w:p>
        </w:tc>
      </w:tr>
      <w:tr w:rsidR="00A26F23" w:rsidRPr="00A26F23" w:rsidTr="000D7C51">
        <w:trPr>
          <w:trHeight w:val="267"/>
        </w:trPr>
        <w:tc>
          <w:tcPr>
            <w:tcW w:w="1249" w:type="pct"/>
            <w:gridSpan w:val="2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pct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80-84</w:t>
            </w:r>
          </w:p>
        </w:tc>
      </w:tr>
      <w:tr w:rsidR="00A26F23" w:rsidRPr="00A26F23" w:rsidTr="000D7C51">
        <w:trPr>
          <w:trHeight w:val="412"/>
        </w:trPr>
        <w:tc>
          <w:tcPr>
            <w:tcW w:w="1249" w:type="pct"/>
            <w:gridSpan w:val="2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pct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74-79</w:t>
            </w:r>
          </w:p>
        </w:tc>
      </w:tr>
      <w:tr w:rsidR="00A26F23" w:rsidRPr="00A26F23" w:rsidTr="000D7C51">
        <w:tc>
          <w:tcPr>
            <w:tcW w:w="1249" w:type="pct"/>
            <w:gridSpan w:val="2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pct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70-73</w:t>
            </w:r>
          </w:p>
        </w:tc>
      </w:tr>
      <w:tr w:rsidR="00A26F23" w:rsidRPr="00A26F23" w:rsidTr="000D7C51">
        <w:tc>
          <w:tcPr>
            <w:tcW w:w="1249" w:type="pct"/>
            <w:gridSpan w:val="2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pct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65-69</w:t>
            </w:r>
          </w:p>
        </w:tc>
      </w:tr>
      <w:tr w:rsidR="00A26F23" w:rsidRPr="00A26F23" w:rsidTr="000D7C51">
        <w:tc>
          <w:tcPr>
            <w:tcW w:w="1249" w:type="pct"/>
            <w:gridSpan w:val="2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pct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60-64</w:t>
            </w:r>
          </w:p>
        </w:tc>
      </w:tr>
      <w:tr w:rsidR="00A26F23" w:rsidRPr="00A26F23" w:rsidTr="000D7C51">
        <w:trPr>
          <w:trHeight w:val="190"/>
        </w:trPr>
        <w:tc>
          <w:tcPr>
            <w:tcW w:w="1249" w:type="pct"/>
            <w:gridSpan w:val="2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pct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&lt;60</w:t>
            </w:r>
          </w:p>
        </w:tc>
      </w:tr>
      <w:tr w:rsidR="00A26F23" w:rsidRPr="00A26F23" w:rsidTr="000D7C51">
        <w:tc>
          <w:tcPr>
            <w:tcW w:w="5000" w:type="pct"/>
            <w:gridSpan w:val="5"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Уміння/навички</w:t>
            </w:r>
          </w:p>
        </w:tc>
      </w:tr>
      <w:tr w:rsidR="00A26F23" w:rsidRPr="00A26F23" w:rsidTr="000D7C51">
        <w:tc>
          <w:tcPr>
            <w:tcW w:w="1238" w:type="pct"/>
            <w:vMerge w:val="restart"/>
          </w:tcPr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поглиблені когнітивні та практичні уміння/навички, майстерність та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pStyle w:val="a4"/>
              <w:tabs>
                <w:tab w:val="left" w:pos="258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Відповідь характеризує уміння: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виявляти проблеми;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формулювати гіпотези;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розв'язувати проблеми;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обирати адекватні методи та інструментальні засоби;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збирати та логічно й зрозуміло інтерпретувати інформацію;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95-100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pStyle w:val="a4"/>
              <w:tabs>
                <w:tab w:val="left" w:pos="258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Відповідь характеризує уміння</w:t>
            </w:r>
            <w:r w:rsidRPr="00A26F23">
              <w:rPr>
                <w:b/>
                <w:i/>
                <w:sz w:val="28"/>
                <w:szCs w:val="28"/>
              </w:rPr>
              <w:t>/</w:t>
            </w:r>
            <w:r w:rsidRPr="00A26F23">
              <w:rPr>
                <w:sz w:val="28"/>
                <w:szCs w:val="28"/>
              </w:rPr>
              <w:t xml:space="preserve">навички застосовувати знання в практичній діяльності з </w:t>
            </w:r>
            <w:proofErr w:type="spellStart"/>
            <w:r w:rsidRPr="00A26F23">
              <w:rPr>
                <w:sz w:val="28"/>
                <w:szCs w:val="28"/>
              </w:rPr>
              <w:t>негрубими</w:t>
            </w:r>
            <w:proofErr w:type="spellEnd"/>
            <w:r w:rsidRPr="00A26F23">
              <w:rPr>
                <w:sz w:val="28"/>
                <w:szCs w:val="28"/>
              </w:rPr>
              <w:t xml:space="preserve"> помилками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90-94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pStyle w:val="a4"/>
              <w:tabs>
                <w:tab w:val="left" w:pos="258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Відповідь характеризує уміння</w:t>
            </w:r>
            <w:r w:rsidRPr="00A26F23">
              <w:rPr>
                <w:b/>
                <w:i/>
                <w:sz w:val="28"/>
                <w:szCs w:val="28"/>
              </w:rPr>
              <w:t>/</w:t>
            </w:r>
            <w:r w:rsidRPr="00A26F23">
              <w:rPr>
                <w:sz w:val="28"/>
                <w:szCs w:val="28"/>
              </w:rPr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85-89</w:t>
            </w:r>
          </w:p>
        </w:tc>
      </w:tr>
      <w:tr w:rsidR="00A26F23" w:rsidRPr="00A26F23" w:rsidTr="000D7C51">
        <w:trPr>
          <w:trHeight w:val="267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pStyle w:val="a4"/>
              <w:tabs>
                <w:tab w:val="left" w:pos="258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Відповідь характеризує уміння</w:t>
            </w:r>
            <w:r w:rsidRPr="00A26F23">
              <w:rPr>
                <w:b/>
                <w:i/>
                <w:sz w:val="28"/>
                <w:szCs w:val="28"/>
              </w:rPr>
              <w:t>/</w:t>
            </w:r>
            <w:r w:rsidRPr="00A26F23">
              <w:rPr>
                <w:sz w:val="28"/>
                <w:szCs w:val="28"/>
              </w:rPr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80-84</w:t>
            </w:r>
          </w:p>
        </w:tc>
      </w:tr>
      <w:tr w:rsidR="00A26F23" w:rsidRPr="00A26F23" w:rsidTr="000D7C51">
        <w:trPr>
          <w:trHeight w:val="412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pStyle w:val="a4"/>
              <w:tabs>
                <w:tab w:val="left" w:pos="258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Відповідь характеризує уміння</w:t>
            </w:r>
            <w:r w:rsidRPr="00A26F23">
              <w:rPr>
                <w:b/>
                <w:i/>
                <w:sz w:val="28"/>
                <w:szCs w:val="28"/>
              </w:rPr>
              <w:t>/</w:t>
            </w:r>
            <w:r w:rsidRPr="00A26F23">
              <w:rPr>
                <w:sz w:val="28"/>
                <w:szCs w:val="28"/>
              </w:rPr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74-79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pStyle w:val="a4"/>
              <w:tabs>
                <w:tab w:val="left" w:pos="258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Відповідь характеризує уміння</w:t>
            </w:r>
            <w:r w:rsidRPr="00A26F23">
              <w:rPr>
                <w:b/>
                <w:i/>
                <w:sz w:val="28"/>
                <w:szCs w:val="28"/>
              </w:rPr>
              <w:t>/</w:t>
            </w:r>
            <w:r w:rsidRPr="00A26F23">
              <w:rPr>
                <w:sz w:val="28"/>
                <w:szCs w:val="28"/>
              </w:rPr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70-73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pStyle w:val="a4"/>
              <w:tabs>
                <w:tab w:val="left" w:pos="258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Відповідь характеризує уміння</w:t>
            </w:r>
            <w:r w:rsidRPr="00A26F23">
              <w:rPr>
                <w:b/>
                <w:i/>
                <w:sz w:val="28"/>
                <w:szCs w:val="28"/>
              </w:rPr>
              <w:t>/</w:t>
            </w:r>
            <w:r w:rsidRPr="00A26F23">
              <w:rPr>
                <w:sz w:val="28"/>
                <w:szCs w:val="28"/>
              </w:rPr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65-69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характеризує уміння</w:t>
            </w:r>
            <w:r w:rsidRPr="00A26F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60-64</w:t>
            </w:r>
          </w:p>
        </w:tc>
      </w:tr>
      <w:tr w:rsidR="00A26F23" w:rsidRPr="00A26F23" w:rsidTr="000D7C51">
        <w:trPr>
          <w:trHeight w:val="190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умінь</w:t>
            </w:r>
            <w:r w:rsidRPr="00A26F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/навичок</w:t>
            </w: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&lt;60</w:t>
            </w:r>
          </w:p>
        </w:tc>
      </w:tr>
      <w:tr w:rsidR="00A26F23" w:rsidRPr="00A26F23" w:rsidTr="000D7C51">
        <w:tc>
          <w:tcPr>
            <w:tcW w:w="5000" w:type="pct"/>
            <w:gridSpan w:val="5"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Комунікація</w:t>
            </w:r>
          </w:p>
        </w:tc>
      </w:tr>
      <w:tr w:rsidR="00A26F23" w:rsidRPr="00A26F23" w:rsidTr="000D7C51">
        <w:tc>
          <w:tcPr>
            <w:tcW w:w="1238" w:type="pct"/>
            <w:vMerge w:val="restart"/>
          </w:tcPr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донесення до фахівців і нефахівців інформації, ідей, проблем, рішень, власного досвіду та аргументації;</w:t>
            </w:r>
          </w:p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збір, інтерпретація та застосування даних;</w:t>
            </w:r>
          </w:p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pStyle w:val="a4"/>
              <w:tabs>
                <w:tab w:val="left" w:pos="331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Вільне володіння проблематикою галузі.</w:t>
            </w:r>
          </w:p>
          <w:p w:rsidR="00A26F23" w:rsidRPr="00A26F23" w:rsidRDefault="00A26F23" w:rsidP="00A26F23">
            <w:pPr>
              <w:pStyle w:val="a4"/>
              <w:tabs>
                <w:tab w:val="left" w:pos="331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Зрозумілість відповіді (доповіді). Мова: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правильна;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чиста;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ясна;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точна;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логічна;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виразна;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лаконічна.</w:t>
            </w:r>
          </w:p>
          <w:p w:rsidR="00A26F23" w:rsidRPr="00A26F23" w:rsidRDefault="00A26F23" w:rsidP="00A26F23">
            <w:pPr>
              <w:pStyle w:val="a4"/>
              <w:tabs>
                <w:tab w:val="left" w:pos="331"/>
              </w:tabs>
              <w:ind w:left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Комунікаційна стратегія: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послідовний і несуперечливий розвиток думки;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наявність логічних власних суджень;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 xml:space="preserve">доречна аргументації та її відповідність </w:t>
            </w:r>
            <w:proofErr w:type="spellStart"/>
            <w:r w:rsidRPr="00A26F23">
              <w:rPr>
                <w:sz w:val="28"/>
                <w:szCs w:val="28"/>
              </w:rPr>
              <w:t>відстоюваним</w:t>
            </w:r>
            <w:proofErr w:type="spellEnd"/>
            <w:r w:rsidRPr="00A26F23">
              <w:rPr>
                <w:sz w:val="28"/>
                <w:szCs w:val="28"/>
              </w:rPr>
              <w:t xml:space="preserve"> положенням;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правильна структура відповіді (доповіді);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правильність відповідей на запитання;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доречна техніка відповідей на запитання;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95-100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Достатнє володіння проблематикою галузі з незначними хибами.</w:t>
            </w:r>
          </w:p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Достатня зрозумілість відповіді (доповіді) з незначними хибами.</w:t>
            </w:r>
          </w:p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90-94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володіння проблематикою галузі.</w:t>
            </w:r>
          </w:p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85-89</w:t>
            </w:r>
          </w:p>
        </w:tc>
      </w:tr>
      <w:tr w:rsidR="00A26F23" w:rsidRPr="00A26F23" w:rsidTr="000D7C51">
        <w:trPr>
          <w:trHeight w:val="267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володіння проблематикою галузі.</w:t>
            </w:r>
          </w:p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80-84</w:t>
            </w:r>
          </w:p>
        </w:tc>
      </w:tr>
      <w:tr w:rsidR="00A26F23" w:rsidRPr="00A26F23" w:rsidTr="000D7C51">
        <w:trPr>
          <w:trHeight w:val="412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володіння проблематикою галузі.</w:t>
            </w:r>
          </w:p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74-79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Задовільне володіння проблематикою галузі.</w:t>
            </w:r>
          </w:p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70-73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Часткове володіння проблематикою галузі.</w:t>
            </w:r>
          </w:p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65-69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Фрагментарне володіння проблематикою галузі.</w:t>
            </w:r>
          </w:p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tabs>
                <w:tab w:val="left" w:pos="2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60-64</w:t>
            </w:r>
          </w:p>
        </w:tc>
      </w:tr>
      <w:tr w:rsidR="00A26F23" w:rsidRPr="00A26F23" w:rsidTr="000D7C51">
        <w:trPr>
          <w:trHeight w:val="190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0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&lt;60</w:t>
            </w:r>
          </w:p>
        </w:tc>
      </w:tr>
      <w:tr w:rsidR="00A26F23" w:rsidRPr="00A26F23" w:rsidTr="000D7C51">
        <w:tc>
          <w:tcPr>
            <w:tcW w:w="5000" w:type="pct"/>
            <w:gridSpan w:val="5"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Відповідальність і автономія</w:t>
            </w:r>
          </w:p>
        </w:tc>
      </w:tr>
      <w:tr w:rsidR="00A26F23" w:rsidRPr="00A26F23" w:rsidTr="000D7C51">
        <w:tc>
          <w:tcPr>
            <w:tcW w:w="1238" w:type="pct"/>
            <w:vMerge w:val="restart"/>
          </w:tcPr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складною технічною або професійною діяльністю чи проектами;</w:t>
            </w:r>
          </w:p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спроможність нести відповідальність за </w:t>
            </w: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вироблення та ухвалення рішень у непередбачуваних робочих та/або навчальних контекстах;</w:t>
            </w:r>
          </w:p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суджень, що враховують соціальні, наукові та етичні аспекти;</w:t>
            </w:r>
          </w:p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керівництво професійним розвитком осіб та груп;</w:t>
            </w:r>
          </w:p>
          <w:p w:rsidR="00A26F23" w:rsidRPr="00A26F23" w:rsidRDefault="00A26F23" w:rsidP="00A26F23">
            <w:pPr>
              <w:numPr>
                <w:ilvl w:val="0"/>
                <w:numId w:val="5"/>
              </w:numPr>
              <w:tabs>
                <w:tab w:val="left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Відмінне володіння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компетенціями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менеджменту особистості, орієнтованих на:</w:t>
            </w:r>
          </w:p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 управління комплексними проектами, що передбачає: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здатність до роботи в команді;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lastRenderedPageBreak/>
              <w:t>контроль власних дій;</w:t>
            </w:r>
          </w:p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відповідальність за прийняття рішень в непередбачуваних умовах, що включає: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обґрунтування власних рішень положеннями нормативної бази галузевого та державного рівнів;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самостійність під час виконання поставлених завдань;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ініціативу в обговоренні проблем;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відповідальність за взаємовідносини;</w:t>
            </w:r>
          </w:p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 відповідальність за професійний розвиток окремих осіб та/або груп осіб, що передбачає: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 xml:space="preserve">використання професійно-орієнтовних навичок; 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використання доказів із самостійною і правильною аргументацією;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володіння всіма видами навчальної діяльності;</w:t>
            </w:r>
          </w:p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 здатність до подальшого навчання з високим рівнем автономності, що передбачає: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 xml:space="preserve">ступінь володіння фундаментальними знаннями; 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самостійність оцінних суджень;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 xml:space="preserve">високий рівень сформованості </w:t>
            </w:r>
            <w:proofErr w:type="spellStart"/>
            <w:r w:rsidRPr="00A26F23">
              <w:rPr>
                <w:sz w:val="28"/>
                <w:szCs w:val="28"/>
              </w:rPr>
              <w:t>загальнонавчальних</w:t>
            </w:r>
            <w:proofErr w:type="spellEnd"/>
            <w:r w:rsidRPr="00A26F23">
              <w:rPr>
                <w:sz w:val="28"/>
                <w:szCs w:val="28"/>
              </w:rPr>
              <w:t xml:space="preserve"> умінь і навичок;</w:t>
            </w:r>
          </w:p>
          <w:p w:rsidR="00A26F23" w:rsidRPr="00A26F23" w:rsidRDefault="00A26F23" w:rsidP="00A26F23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95-100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pct"/>
            <w:gridSpan w:val="3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Упевнене володіння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компетенціями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менеджменту особистості (не реалізовано дві вимоги)</w:t>
            </w:r>
          </w:p>
        </w:tc>
        <w:tc>
          <w:tcPr>
            <w:tcW w:w="723" w:type="pct"/>
          </w:tcPr>
          <w:p w:rsidR="00A26F23" w:rsidRPr="00A26F23" w:rsidRDefault="00A26F23" w:rsidP="00A26F2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26F23">
              <w:rPr>
                <w:sz w:val="28"/>
                <w:szCs w:val="28"/>
              </w:rPr>
              <w:t>90-94</w:t>
            </w:r>
          </w:p>
        </w:tc>
      </w:tr>
      <w:tr w:rsidR="00A26F23" w:rsidRPr="00A26F23" w:rsidTr="000D7C51">
        <w:trPr>
          <w:trHeight w:val="435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pct"/>
            <w:gridSpan w:val="3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володіння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компетенціями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менеджменту особистості (не реалізовано три вимоги)</w:t>
            </w:r>
          </w:p>
        </w:tc>
        <w:tc>
          <w:tcPr>
            <w:tcW w:w="723" w:type="pct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85-89</w:t>
            </w:r>
          </w:p>
        </w:tc>
      </w:tr>
      <w:tr w:rsidR="00A26F23" w:rsidRPr="00A26F23" w:rsidTr="000D7C51">
        <w:trPr>
          <w:trHeight w:val="538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pct"/>
            <w:gridSpan w:val="3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володіння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компетенціями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80-84</w:t>
            </w:r>
          </w:p>
        </w:tc>
      </w:tr>
      <w:tr w:rsidR="00A26F23" w:rsidRPr="00A26F23" w:rsidTr="000D7C51">
        <w:trPr>
          <w:trHeight w:val="160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pct"/>
            <w:gridSpan w:val="3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володіння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компетенціями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74-79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pct"/>
            <w:gridSpan w:val="3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Задовільне володіння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компетенціями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менеджменту особистості (не реалізовано сім вимог)</w:t>
            </w:r>
          </w:p>
        </w:tc>
        <w:tc>
          <w:tcPr>
            <w:tcW w:w="723" w:type="pct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70-73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pct"/>
            <w:gridSpan w:val="3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Задовільне володіння </w:t>
            </w:r>
            <w:proofErr w:type="spellStart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компетенціями</w:t>
            </w:r>
            <w:proofErr w:type="spellEnd"/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менеджменту особистості (не реалізовано вісім </w:t>
            </w: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вимог)</w:t>
            </w:r>
          </w:p>
        </w:tc>
        <w:tc>
          <w:tcPr>
            <w:tcW w:w="723" w:type="pct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65-69</w:t>
            </w:r>
          </w:p>
        </w:tc>
      </w:tr>
      <w:tr w:rsidR="00A26F23" w:rsidRPr="00A26F23" w:rsidTr="000D7C51"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pct"/>
            <w:gridSpan w:val="3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60-64</w:t>
            </w:r>
          </w:p>
        </w:tc>
      </w:tr>
      <w:tr w:rsidR="00A26F23" w:rsidRPr="00A26F23" w:rsidTr="000D7C51">
        <w:trPr>
          <w:trHeight w:val="190"/>
        </w:trPr>
        <w:tc>
          <w:tcPr>
            <w:tcW w:w="1238" w:type="pct"/>
            <w:vMerge/>
          </w:tcPr>
          <w:p w:rsidR="00A26F23" w:rsidRPr="00A26F23" w:rsidRDefault="00A26F23" w:rsidP="00A26F2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pct"/>
            <w:gridSpan w:val="3"/>
          </w:tcPr>
          <w:p w:rsidR="00A26F23" w:rsidRPr="00A26F23" w:rsidRDefault="00A26F23" w:rsidP="00A2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A26F23" w:rsidRPr="00A26F23" w:rsidRDefault="00A26F23" w:rsidP="00A2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&lt;60</w:t>
            </w:r>
          </w:p>
        </w:tc>
      </w:tr>
    </w:tbl>
    <w:p w:rsidR="0041396E" w:rsidRDefault="0041396E" w:rsidP="0066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74E" w:rsidRPr="0095074E" w:rsidRDefault="0095074E" w:rsidP="009507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5074E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1D5305" w:rsidRPr="001D5305" w:rsidRDefault="00103E2C" w:rsidP="001D530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Неліпа Д.В. Системний аналіз в політології : підручник</w:t>
      </w:r>
      <w:r w:rsidR="000D7C51">
        <w:rPr>
          <w:sz w:val="28"/>
          <w:szCs w:val="28"/>
        </w:rPr>
        <w:t>. Центр навчальної літератури. 2019 р., 312 с.</w:t>
      </w:r>
      <w:r>
        <w:rPr>
          <w:sz w:val="28"/>
          <w:szCs w:val="28"/>
        </w:rPr>
        <w:t xml:space="preserve"> </w:t>
      </w:r>
    </w:p>
    <w:p w:rsidR="001D5305" w:rsidRPr="001D5305" w:rsidRDefault="001D5305" w:rsidP="001D530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D5305">
        <w:rPr>
          <w:sz w:val="28"/>
          <w:szCs w:val="28"/>
        </w:rPr>
        <w:t xml:space="preserve">Стратегічне управління та політичне прогнозування в публічній сфері : </w:t>
      </w:r>
      <w:proofErr w:type="spellStart"/>
      <w:r w:rsidRPr="001D5305">
        <w:rPr>
          <w:sz w:val="28"/>
          <w:szCs w:val="28"/>
        </w:rPr>
        <w:t>навч</w:t>
      </w:r>
      <w:proofErr w:type="spellEnd"/>
      <w:r w:rsidRPr="001D5305">
        <w:rPr>
          <w:sz w:val="28"/>
          <w:szCs w:val="28"/>
        </w:rPr>
        <w:t xml:space="preserve">. </w:t>
      </w:r>
      <w:proofErr w:type="spellStart"/>
      <w:r w:rsidRPr="001D5305">
        <w:rPr>
          <w:sz w:val="28"/>
          <w:szCs w:val="28"/>
        </w:rPr>
        <w:t>посіб</w:t>
      </w:r>
      <w:proofErr w:type="spellEnd"/>
      <w:r w:rsidRPr="001D5305">
        <w:rPr>
          <w:sz w:val="28"/>
          <w:szCs w:val="28"/>
        </w:rPr>
        <w:t xml:space="preserve">. / авт. </w:t>
      </w:r>
      <w:proofErr w:type="spellStart"/>
      <w:r w:rsidRPr="001D5305">
        <w:rPr>
          <w:sz w:val="28"/>
          <w:szCs w:val="28"/>
        </w:rPr>
        <w:t>кол</w:t>
      </w:r>
      <w:proofErr w:type="spellEnd"/>
      <w:r w:rsidRPr="001D5305">
        <w:rPr>
          <w:sz w:val="28"/>
          <w:szCs w:val="28"/>
        </w:rPr>
        <w:t xml:space="preserve">.: С. О. </w:t>
      </w:r>
      <w:proofErr w:type="spellStart"/>
      <w:r w:rsidRPr="001D5305">
        <w:rPr>
          <w:sz w:val="28"/>
          <w:szCs w:val="28"/>
        </w:rPr>
        <w:t>Телешун</w:t>
      </w:r>
      <w:proofErr w:type="spellEnd"/>
      <w:r w:rsidRPr="001D5305">
        <w:rPr>
          <w:sz w:val="28"/>
          <w:szCs w:val="28"/>
        </w:rPr>
        <w:t xml:space="preserve">, І. В. </w:t>
      </w:r>
      <w:proofErr w:type="spellStart"/>
      <w:r w:rsidRPr="001D5305">
        <w:rPr>
          <w:sz w:val="28"/>
          <w:szCs w:val="28"/>
        </w:rPr>
        <w:t>Рейтерович</w:t>
      </w:r>
      <w:proofErr w:type="spellEnd"/>
      <w:r w:rsidRPr="001D5305">
        <w:rPr>
          <w:sz w:val="28"/>
          <w:szCs w:val="28"/>
        </w:rPr>
        <w:t xml:space="preserve">, С. В. Ситник, О. Г. </w:t>
      </w:r>
      <w:proofErr w:type="spellStart"/>
      <w:r w:rsidRPr="001D5305">
        <w:rPr>
          <w:sz w:val="28"/>
          <w:szCs w:val="28"/>
        </w:rPr>
        <w:t>Пухкал</w:t>
      </w:r>
      <w:proofErr w:type="spellEnd"/>
      <w:r w:rsidRPr="001D5305">
        <w:rPr>
          <w:sz w:val="28"/>
          <w:szCs w:val="28"/>
        </w:rPr>
        <w:t xml:space="preserve"> та ін.; за </w:t>
      </w:r>
      <w:proofErr w:type="spellStart"/>
      <w:r w:rsidRPr="001D5305">
        <w:rPr>
          <w:sz w:val="28"/>
          <w:szCs w:val="28"/>
        </w:rPr>
        <w:t>заг</w:t>
      </w:r>
      <w:proofErr w:type="spellEnd"/>
      <w:r w:rsidRPr="001D5305">
        <w:rPr>
          <w:sz w:val="28"/>
          <w:szCs w:val="28"/>
        </w:rPr>
        <w:t xml:space="preserve">. ред. С. О. </w:t>
      </w:r>
      <w:proofErr w:type="spellStart"/>
      <w:r w:rsidRPr="001D5305">
        <w:rPr>
          <w:sz w:val="28"/>
          <w:szCs w:val="28"/>
        </w:rPr>
        <w:t>Телешуна</w:t>
      </w:r>
      <w:proofErr w:type="spellEnd"/>
      <w:r w:rsidRPr="001D5305">
        <w:rPr>
          <w:sz w:val="28"/>
          <w:szCs w:val="28"/>
        </w:rPr>
        <w:t>, д-ра політ. наук, проф. – Київ : НАДУ, 2018. – 192 с.</w:t>
      </w:r>
    </w:p>
    <w:p w:rsidR="001D5305" w:rsidRDefault="000D7C51" w:rsidP="001D5305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Ковальчук О.Я. </w:t>
      </w:r>
      <w:proofErr w:type="spellStart"/>
      <w:r>
        <w:rPr>
          <w:sz w:val="28"/>
          <w:szCs w:val="28"/>
          <w:lang w:val="ru-RU"/>
        </w:rPr>
        <w:t>Математичне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моделювання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прогнозування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іжнародних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відносинах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Тернопіль</w:t>
      </w:r>
      <w:proofErr w:type="spellEnd"/>
      <w:r>
        <w:rPr>
          <w:sz w:val="28"/>
          <w:szCs w:val="28"/>
          <w:lang w:val="ru-RU"/>
        </w:rPr>
        <w:t>: ТНЕУ, 2019. с. 419.</w:t>
      </w:r>
    </w:p>
    <w:p w:rsidR="00C05781" w:rsidRDefault="00C05781" w:rsidP="00C05781">
      <w:pPr>
        <w:jc w:val="both"/>
        <w:rPr>
          <w:sz w:val="28"/>
          <w:szCs w:val="28"/>
          <w:lang w:val="uk-UA"/>
        </w:rPr>
      </w:pPr>
    </w:p>
    <w:p w:rsidR="00C05781" w:rsidRDefault="00C05781" w:rsidP="00C05781">
      <w:pPr>
        <w:jc w:val="both"/>
        <w:rPr>
          <w:sz w:val="28"/>
          <w:szCs w:val="28"/>
          <w:lang w:val="uk-UA"/>
        </w:rPr>
      </w:pPr>
    </w:p>
    <w:p w:rsidR="00C05781" w:rsidRDefault="00C05781" w:rsidP="00C05781">
      <w:pPr>
        <w:jc w:val="both"/>
        <w:rPr>
          <w:sz w:val="28"/>
          <w:szCs w:val="28"/>
          <w:lang w:val="uk-UA"/>
        </w:rPr>
      </w:pPr>
    </w:p>
    <w:p w:rsidR="00C05781" w:rsidRDefault="00C05781" w:rsidP="00C05781">
      <w:pPr>
        <w:jc w:val="both"/>
        <w:rPr>
          <w:sz w:val="28"/>
          <w:szCs w:val="28"/>
          <w:lang w:val="uk-UA"/>
        </w:rPr>
      </w:pPr>
    </w:p>
    <w:p w:rsidR="000D7C51" w:rsidRDefault="000D7C51" w:rsidP="00C05781">
      <w:pPr>
        <w:jc w:val="both"/>
        <w:rPr>
          <w:sz w:val="28"/>
          <w:szCs w:val="28"/>
          <w:lang w:val="uk-UA"/>
        </w:rPr>
        <w:sectPr w:rsidR="000D7C51" w:rsidSect="00B82AA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05781" w:rsidRDefault="00C05781" w:rsidP="00C05781">
      <w:pPr>
        <w:jc w:val="both"/>
        <w:rPr>
          <w:sz w:val="28"/>
          <w:szCs w:val="28"/>
          <w:lang w:val="uk-UA"/>
        </w:rPr>
      </w:pPr>
    </w:p>
    <w:p w:rsidR="00C05781" w:rsidRDefault="00C05781" w:rsidP="00C05781">
      <w:pPr>
        <w:jc w:val="both"/>
        <w:rPr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1.</w:t>
      </w:r>
    </w:p>
    <w:p w:rsidR="00B629B5" w:rsidRDefault="00B629B5" w:rsidP="00B629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 оформлення звіту з навчальної практики</w:t>
      </w:r>
    </w:p>
    <w:p w:rsidR="00B629B5" w:rsidRPr="00B629B5" w:rsidRDefault="00B629B5" w:rsidP="00B629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5781" w:rsidRPr="00B82AAE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A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05781" w:rsidRPr="00B82AAE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AE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C05781" w:rsidRPr="00B82AAE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AE">
        <w:rPr>
          <w:rFonts w:ascii="Times New Roman" w:hAnsi="Times New Roman" w:cs="Times New Roman"/>
          <w:b/>
          <w:sz w:val="28"/>
          <w:szCs w:val="28"/>
          <w:lang w:val="uk-UA"/>
        </w:rPr>
        <w:t>«Дніпровська політехніка»</w:t>
      </w:r>
    </w:p>
    <w:p w:rsidR="00C05781" w:rsidRPr="00B82AAE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B82AAE">
        <w:rPr>
          <w:rFonts w:ascii="Times New Roman" w:hAnsi="Times New Roman" w:cs="Times New Roman"/>
          <w:b/>
          <w:sz w:val="28"/>
          <w:szCs w:val="28"/>
          <w:lang w:val="uk-UA"/>
        </w:rPr>
        <w:t>афедра міжнародних відносин і аудиту</w:t>
      </w:r>
    </w:p>
    <w:p w:rsidR="00C05781" w:rsidRPr="00B82AAE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81" w:rsidRPr="00B82AAE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9EE61A" wp14:editId="51EE4232">
            <wp:extent cx="1685925" cy="192314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2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81" w:rsidRDefault="00C05781" w:rsidP="00C0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81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 студента</w:t>
      </w:r>
    </w:p>
    <w:p w:rsidR="00C05781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</w:t>
      </w:r>
    </w:p>
    <w:p w:rsidR="00C05781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5781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ЗВІТ З НАВЧАЛЬНОЇ</w:t>
      </w:r>
      <w:r w:rsidRPr="003B476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ПРАКТИК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</w:p>
    <w:p w:rsidR="00C05781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ТЕМА: </w:t>
      </w:r>
    </w:p>
    <w:p w:rsidR="00C05781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5781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5781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5781" w:rsidRDefault="00C05781" w:rsidP="00C057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5781" w:rsidRPr="003B476D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476D"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C05781" w:rsidRDefault="00C05781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476D">
        <w:rPr>
          <w:rFonts w:ascii="Times New Roman" w:hAnsi="Times New Roman" w:cs="Times New Roman"/>
          <w:sz w:val="28"/>
          <w:szCs w:val="28"/>
          <w:lang w:val="uk-UA"/>
        </w:rPr>
        <w:t>НТУ «ДП»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76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26EC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629B5" w:rsidRDefault="00B629B5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C05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B629B5" w:rsidRDefault="00B629B5" w:rsidP="00B629B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Медіамоніторинг</w:t>
      </w:r>
      <w:proofErr w:type="spellEnd"/>
      <w:r>
        <w:rPr>
          <w:sz w:val="28"/>
          <w:szCs w:val="28"/>
        </w:rPr>
        <w:t xml:space="preserve"> …………………………………………………………</w:t>
      </w:r>
    </w:p>
    <w:p w:rsidR="00B629B5" w:rsidRDefault="00B629B5" w:rsidP="00B629B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B629B5" w:rsidRDefault="00B629B5" w:rsidP="00B629B5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</w:t>
      </w:r>
    </w:p>
    <w:p w:rsidR="00B629B5" w:rsidRDefault="00B629B5" w:rsidP="00B629B5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 частина</w:t>
      </w:r>
    </w:p>
    <w:p w:rsidR="00B629B5" w:rsidRDefault="00B629B5" w:rsidP="00B629B5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Висновки</w:t>
      </w:r>
    </w:p>
    <w:p w:rsidR="00B629B5" w:rsidRP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P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  <w:r w:rsidRPr="00B629B5">
        <w:rPr>
          <w:b/>
          <w:sz w:val="28"/>
          <w:szCs w:val="28"/>
        </w:rPr>
        <w:lastRenderedPageBreak/>
        <w:t xml:space="preserve">1. </w:t>
      </w:r>
      <w:proofErr w:type="spellStart"/>
      <w:r w:rsidRPr="00B629B5">
        <w:rPr>
          <w:b/>
          <w:sz w:val="28"/>
          <w:szCs w:val="28"/>
        </w:rPr>
        <w:t>Медіамоніторинг</w:t>
      </w:r>
      <w:proofErr w:type="spellEnd"/>
    </w:p>
    <w:p w:rsidR="00B629B5" w:rsidRDefault="00B629B5" w:rsidP="00B629B5">
      <w:pPr>
        <w:pStyle w:val="a4"/>
        <w:spacing w:line="360" w:lineRule="auto"/>
        <w:ind w:left="1080"/>
        <w:jc w:val="center"/>
        <w:rPr>
          <w:sz w:val="28"/>
          <w:szCs w:val="28"/>
        </w:rPr>
      </w:pPr>
    </w:p>
    <w:p w:rsidR="00B629B5" w:rsidRP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  <w:r w:rsidRPr="00B629B5">
        <w:rPr>
          <w:b/>
          <w:sz w:val="28"/>
          <w:szCs w:val="28"/>
        </w:rPr>
        <w:t>Тема</w:t>
      </w:r>
    </w:p>
    <w:p w:rsidR="00B629B5" w:rsidRPr="006638CF" w:rsidRDefault="00B629B5" w:rsidP="00B629B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396E"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505"/>
        <w:gridCol w:w="3975"/>
        <w:gridCol w:w="1553"/>
        <w:gridCol w:w="2375"/>
      </w:tblGrid>
      <w:tr w:rsidR="00B629B5" w:rsidTr="00B629B5">
        <w:tc>
          <w:tcPr>
            <w:tcW w:w="446" w:type="dxa"/>
            <w:vAlign w:val="center"/>
          </w:tcPr>
          <w:p w:rsidR="00B629B5" w:rsidRPr="0041396E" w:rsidRDefault="00B629B5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05" w:type="dxa"/>
            <w:vAlign w:val="center"/>
          </w:tcPr>
          <w:p w:rsidR="00B629B5" w:rsidRPr="0041396E" w:rsidRDefault="00B629B5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спікер</w:t>
            </w:r>
          </w:p>
        </w:tc>
        <w:tc>
          <w:tcPr>
            <w:tcW w:w="3975" w:type="dxa"/>
            <w:vAlign w:val="center"/>
          </w:tcPr>
          <w:p w:rsidR="00B629B5" w:rsidRPr="0041396E" w:rsidRDefault="00B629B5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Короткий зміст</w:t>
            </w:r>
          </w:p>
        </w:tc>
        <w:tc>
          <w:tcPr>
            <w:tcW w:w="1553" w:type="dxa"/>
            <w:vAlign w:val="center"/>
          </w:tcPr>
          <w:p w:rsidR="00B629B5" w:rsidRPr="0041396E" w:rsidRDefault="00B629B5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тональність</w:t>
            </w:r>
          </w:p>
        </w:tc>
        <w:tc>
          <w:tcPr>
            <w:tcW w:w="2375" w:type="dxa"/>
            <w:vAlign w:val="center"/>
          </w:tcPr>
          <w:p w:rsidR="00B629B5" w:rsidRPr="0041396E" w:rsidRDefault="00B629B5" w:rsidP="00B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96E">
              <w:rPr>
                <w:rFonts w:ascii="Times New Roman" w:hAnsi="Times New Roman"/>
                <w:sz w:val="24"/>
                <w:szCs w:val="24"/>
                <w:lang w:val="uk-UA"/>
              </w:rPr>
              <w:t>посилання</w:t>
            </w:r>
          </w:p>
        </w:tc>
      </w:tr>
      <w:tr w:rsidR="00B629B5" w:rsidTr="00B629B5">
        <w:tc>
          <w:tcPr>
            <w:tcW w:w="446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</w:tr>
      <w:tr w:rsidR="00B629B5" w:rsidTr="00B629B5">
        <w:tc>
          <w:tcPr>
            <w:tcW w:w="446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</w:tr>
      <w:tr w:rsidR="00B629B5" w:rsidTr="00B629B5">
        <w:tc>
          <w:tcPr>
            <w:tcW w:w="446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</w:tr>
      <w:tr w:rsidR="00B629B5" w:rsidTr="00B629B5">
        <w:tc>
          <w:tcPr>
            <w:tcW w:w="446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</w:tr>
      <w:tr w:rsidR="00B629B5" w:rsidTr="00B629B5">
        <w:tc>
          <w:tcPr>
            <w:tcW w:w="446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629B5" w:rsidRPr="009E3DBE" w:rsidRDefault="00B629B5" w:rsidP="00B629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629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Звіт</w:t>
      </w:r>
    </w:p>
    <w:p w:rsid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Вступ</w:t>
      </w:r>
    </w:p>
    <w:p w:rsid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 Основна частина</w:t>
      </w:r>
    </w:p>
    <w:p w:rsid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B629B5" w:rsidRPr="00B629B5" w:rsidRDefault="00B629B5" w:rsidP="00B629B5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042EFA">
        <w:rPr>
          <w:b/>
          <w:sz w:val="28"/>
          <w:szCs w:val="28"/>
        </w:rPr>
        <w:t xml:space="preserve"> Висновки</w:t>
      </w:r>
    </w:p>
    <w:p w:rsidR="00B629B5" w:rsidRPr="00B629B5" w:rsidRDefault="00B629B5" w:rsidP="00B62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29B5" w:rsidRPr="00B629B5" w:rsidSect="00B82A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97" w:rsidRDefault="00622F97" w:rsidP="00FD415A">
      <w:pPr>
        <w:spacing w:after="0" w:line="240" w:lineRule="auto"/>
      </w:pPr>
      <w:r>
        <w:separator/>
      </w:r>
    </w:p>
  </w:endnote>
  <w:endnote w:type="continuationSeparator" w:id="0">
    <w:p w:rsidR="00622F97" w:rsidRDefault="00622F97" w:rsidP="00FD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531022"/>
      <w:docPartObj>
        <w:docPartGallery w:val="Page Numbers (Bottom of Page)"/>
        <w:docPartUnique/>
      </w:docPartObj>
    </w:sdtPr>
    <w:sdtEndPr/>
    <w:sdtContent>
      <w:p w:rsidR="000D7C51" w:rsidRDefault="000D7C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7C51" w:rsidRDefault="000D7C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97" w:rsidRDefault="00622F97" w:rsidP="00FD415A">
      <w:pPr>
        <w:spacing w:after="0" w:line="240" w:lineRule="auto"/>
      </w:pPr>
      <w:r>
        <w:separator/>
      </w:r>
    </w:p>
  </w:footnote>
  <w:footnote w:type="continuationSeparator" w:id="0">
    <w:p w:rsidR="00622F97" w:rsidRDefault="00622F97" w:rsidP="00FD4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3899"/>
    <w:multiLevelType w:val="multilevel"/>
    <w:tmpl w:val="FBEA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D6C05FF"/>
    <w:multiLevelType w:val="hybridMultilevel"/>
    <w:tmpl w:val="4AC03374"/>
    <w:lvl w:ilvl="0" w:tplc="0328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344D0"/>
    <w:multiLevelType w:val="hybridMultilevel"/>
    <w:tmpl w:val="213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86094"/>
    <w:multiLevelType w:val="hybridMultilevel"/>
    <w:tmpl w:val="7728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E"/>
    <w:rsid w:val="00002543"/>
    <w:rsid w:val="000204EE"/>
    <w:rsid w:val="000208D6"/>
    <w:rsid w:val="00042EFA"/>
    <w:rsid w:val="000D2945"/>
    <w:rsid w:val="000D7C51"/>
    <w:rsid w:val="00103E2C"/>
    <w:rsid w:val="001565F1"/>
    <w:rsid w:val="00191871"/>
    <w:rsid w:val="001D5305"/>
    <w:rsid w:val="0023406A"/>
    <w:rsid w:val="00284576"/>
    <w:rsid w:val="00293708"/>
    <w:rsid w:val="002C3902"/>
    <w:rsid w:val="002F1A7E"/>
    <w:rsid w:val="00326EC9"/>
    <w:rsid w:val="00330CAB"/>
    <w:rsid w:val="003B0D59"/>
    <w:rsid w:val="003B476D"/>
    <w:rsid w:val="003C6812"/>
    <w:rsid w:val="0041396E"/>
    <w:rsid w:val="0046434E"/>
    <w:rsid w:val="004B2085"/>
    <w:rsid w:val="00517866"/>
    <w:rsid w:val="00542F92"/>
    <w:rsid w:val="00587DF5"/>
    <w:rsid w:val="005D620C"/>
    <w:rsid w:val="00622F97"/>
    <w:rsid w:val="006638CF"/>
    <w:rsid w:val="006827C3"/>
    <w:rsid w:val="00696ED3"/>
    <w:rsid w:val="006D5401"/>
    <w:rsid w:val="0078260E"/>
    <w:rsid w:val="00795EF6"/>
    <w:rsid w:val="007B6AC4"/>
    <w:rsid w:val="007C272E"/>
    <w:rsid w:val="007D6422"/>
    <w:rsid w:val="008A6EF9"/>
    <w:rsid w:val="008D74BD"/>
    <w:rsid w:val="008E4C51"/>
    <w:rsid w:val="008F019A"/>
    <w:rsid w:val="008F2F66"/>
    <w:rsid w:val="00904CC5"/>
    <w:rsid w:val="009128EA"/>
    <w:rsid w:val="0095074E"/>
    <w:rsid w:val="009E1407"/>
    <w:rsid w:val="00A05004"/>
    <w:rsid w:val="00A07A49"/>
    <w:rsid w:val="00A26F23"/>
    <w:rsid w:val="00A41271"/>
    <w:rsid w:val="00A523F0"/>
    <w:rsid w:val="00A6763E"/>
    <w:rsid w:val="00AE672D"/>
    <w:rsid w:val="00B0215E"/>
    <w:rsid w:val="00B040E9"/>
    <w:rsid w:val="00B629B5"/>
    <w:rsid w:val="00B82AAE"/>
    <w:rsid w:val="00BD7633"/>
    <w:rsid w:val="00C05781"/>
    <w:rsid w:val="00CD2EFC"/>
    <w:rsid w:val="00CE445D"/>
    <w:rsid w:val="00D26F8D"/>
    <w:rsid w:val="00D35A9C"/>
    <w:rsid w:val="00D3753D"/>
    <w:rsid w:val="00D53091"/>
    <w:rsid w:val="00DB59C1"/>
    <w:rsid w:val="00DD66F0"/>
    <w:rsid w:val="00DF23AE"/>
    <w:rsid w:val="00E5743D"/>
    <w:rsid w:val="00E67046"/>
    <w:rsid w:val="00E93BE8"/>
    <w:rsid w:val="00ED505D"/>
    <w:rsid w:val="00F6248B"/>
    <w:rsid w:val="00F65ADC"/>
    <w:rsid w:val="00FD415A"/>
    <w:rsid w:val="00FD7A6F"/>
    <w:rsid w:val="00FE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2E"/>
  </w:style>
  <w:style w:type="paragraph" w:styleId="1">
    <w:name w:val="heading 1"/>
    <w:basedOn w:val="a"/>
    <w:link w:val="10"/>
    <w:qFormat/>
    <w:rsid w:val="005D620C"/>
    <w:pPr>
      <w:widowControl w:val="0"/>
      <w:autoSpaceDE w:val="0"/>
      <w:autoSpaceDN w:val="0"/>
      <w:spacing w:before="131" w:after="0" w:line="480" w:lineRule="exact"/>
      <w:ind w:left="564" w:right="4" w:hanging="565"/>
      <w:outlineLvl w:val="0"/>
    </w:pPr>
    <w:rPr>
      <w:rFonts w:ascii="Times New Roman" w:eastAsia="Times New Roman" w:hAnsi="Times New Roman" w:cs="Times New Roman"/>
      <w:sz w:val="43"/>
      <w:szCs w:val="4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96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0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D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5A"/>
  </w:style>
  <w:style w:type="paragraph" w:styleId="a7">
    <w:name w:val="footer"/>
    <w:basedOn w:val="a"/>
    <w:link w:val="a8"/>
    <w:uiPriority w:val="99"/>
    <w:unhideWhenUsed/>
    <w:rsid w:val="00FD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5A"/>
  </w:style>
  <w:style w:type="paragraph" w:styleId="a9">
    <w:name w:val="Balloon Text"/>
    <w:basedOn w:val="a"/>
    <w:link w:val="aa"/>
    <w:uiPriority w:val="99"/>
    <w:semiHidden/>
    <w:unhideWhenUsed/>
    <w:rsid w:val="00FE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D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620C"/>
    <w:rPr>
      <w:rFonts w:ascii="Times New Roman" w:eastAsia="Times New Roman" w:hAnsi="Times New Roman" w:cs="Times New Roman"/>
      <w:sz w:val="43"/>
      <w:szCs w:val="43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2E"/>
  </w:style>
  <w:style w:type="paragraph" w:styleId="1">
    <w:name w:val="heading 1"/>
    <w:basedOn w:val="a"/>
    <w:link w:val="10"/>
    <w:qFormat/>
    <w:rsid w:val="005D620C"/>
    <w:pPr>
      <w:widowControl w:val="0"/>
      <w:autoSpaceDE w:val="0"/>
      <w:autoSpaceDN w:val="0"/>
      <w:spacing w:before="131" w:after="0" w:line="480" w:lineRule="exact"/>
      <w:ind w:left="564" w:right="4" w:hanging="565"/>
      <w:outlineLvl w:val="0"/>
    </w:pPr>
    <w:rPr>
      <w:rFonts w:ascii="Times New Roman" w:eastAsia="Times New Roman" w:hAnsi="Times New Roman" w:cs="Times New Roman"/>
      <w:sz w:val="43"/>
      <w:szCs w:val="4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96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0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D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5A"/>
  </w:style>
  <w:style w:type="paragraph" w:styleId="a7">
    <w:name w:val="footer"/>
    <w:basedOn w:val="a"/>
    <w:link w:val="a8"/>
    <w:uiPriority w:val="99"/>
    <w:unhideWhenUsed/>
    <w:rsid w:val="00FD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5A"/>
  </w:style>
  <w:style w:type="paragraph" w:styleId="a9">
    <w:name w:val="Balloon Text"/>
    <w:basedOn w:val="a"/>
    <w:link w:val="aa"/>
    <w:uiPriority w:val="99"/>
    <w:semiHidden/>
    <w:unhideWhenUsed/>
    <w:rsid w:val="00FE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D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620C"/>
    <w:rPr>
      <w:rFonts w:ascii="Times New Roman" w:eastAsia="Times New Roman" w:hAnsi="Times New Roman" w:cs="Times New Roman"/>
      <w:sz w:val="43"/>
      <w:szCs w:val="43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B6DD-FE80-477F-A3F2-63BC0231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19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Marina</cp:lastModifiedBy>
  <cp:revision>15</cp:revision>
  <dcterms:created xsi:type="dcterms:W3CDTF">2023-02-01T10:30:00Z</dcterms:created>
  <dcterms:modified xsi:type="dcterms:W3CDTF">2023-02-03T17:45:00Z</dcterms:modified>
</cp:coreProperties>
</file>